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224D6" w14:textId="06E181ED" w:rsidR="0037467E" w:rsidRDefault="0037467E" w:rsidP="0037467E">
      <w:pPr>
        <w:pBdr>
          <w:top w:val="single" w:sz="4" w:space="1" w:color="auto"/>
          <w:left w:val="single" w:sz="4" w:space="4" w:color="auto"/>
          <w:bottom w:val="single" w:sz="4" w:space="1" w:color="auto"/>
          <w:right w:val="single" w:sz="4" w:space="4" w:color="auto"/>
        </w:pBdr>
        <w:spacing w:after="0"/>
        <w:jc w:val="center"/>
        <w:rPr>
          <w:b/>
          <w:bCs/>
          <w:sz w:val="44"/>
          <w:szCs w:val="44"/>
        </w:rPr>
      </w:pPr>
    </w:p>
    <w:p w14:paraId="661395FD" w14:textId="2DAC8438" w:rsidR="0037467E" w:rsidRDefault="0037467E" w:rsidP="0037467E">
      <w:pPr>
        <w:pBdr>
          <w:top w:val="single" w:sz="4" w:space="1" w:color="auto"/>
          <w:left w:val="single" w:sz="4" w:space="4" w:color="auto"/>
          <w:bottom w:val="single" w:sz="4" w:space="1" w:color="auto"/>
          <w:right w:val="single" w:sz="4" w:space="4" w:color="auto"/>
        </w:pBdr>
        <w:spacing w:after="0"/>
        <w:jc w:val="center"/>
        <w:rPr>
          <w:b/>
          <w:bCs/>
          <w:sz w:val="44"/>
          <w:szCs w:val="44"/>
        </w:rPr>
      </w:pPr>
    </w:p>
    <w:p w14:paraId="20D81CD8" w14:textId="42380508" w:rsidR="002158B8" w:rsidRDefault="00CA5BBE" w:rsidP="0037467E">
      <w:pPr>
        <w:pBdr>
          <w:top w:val="single" w:sz="4" w:space="1" w:color="auto"/>
          <w:left w:val="single" w:sz="4" w:space="4" w:color="auto"/>
          <w:bottom w:val="single" w:sz="4" w:space="1" w:color="auto"/>
          <w:right w:val="single" w:sz="4" w:space="4" w:color="auto"/>
        </w:pBdr>
        <w:spacing w:after="0"/>
        <w:jc w:val="center"/>
        <w:rPr>
          <w:b/>
          <w:bCs/>
          <w:sz w:val="44"/>
          <w:szCs w:val="44"/>
        </w:rPr>
      </w:pPr>
      <w:r>
        <w:rPr>
          <w:rFonts w:ascii="Times New Roman" w:hAnsi="Times New Roman" w:cs="Times New Roman"/>
          <w:noProof/>
          <w:sz w:val="24"/>
          <w:szCs w:val="24"/>
        </w:rPr>
        <w:drawing>
          <wp:inline distT="0" distB="0" distL="0" distR="0" wp14:anchorId="7A25D7E6" wp14:editId="18D88426">
            <wp:extent cx="2035810" cy="539115"/>
            <wp:effectExtent l="0" t="0" r="0" b="0"/>
            <wp:docPr id="1319902073" name="Picture 1319902073"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902073" name="Picture 1319902073" descr="A blue and black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5810" cy="539115"/>
                    </a:xfrm>
                    <a:prstGeom prst="rect">
                      <a:avLst/>
                    </a:prstGeom>
                    <a:noFill/>
                    <a:ln>
                      <a:noFill/>
                    </a:ln>
                  </pic:spPr>
                </pic:pic>
              </a:graphicData>
            </a:graphic>
          </wp:inline>
        </w:drawing>
      </w:r>
    </w:p>
    <w:p w14:paraId="505CACD4" w14:textId="77777777" w:rsidR="0037467E" w:rsidRDefault="0037467E" w:rsidP="0037467E">
      <w:pPr>
        <w:pBdr>
          <w:top w:val="single" w:sz="4" w:space="1" w:color="auto"/>
          <w:left w:val="single" w:sz="4" w:space="4" w:color="auto"/>
          <w:bottom w:val="single" w:sz="4" w:space="1" w:color="auto"/>
          <w:right w:val="single" w:sz="4" w:space="4" w:color="auto"/>
        </w:pBdr>
        <w:spacing w:after="0"/>
        <w:jc w:val="center"/>
        <w:rPr>
          <w:b/>
          <w:bCs/>
          <w:sz w:val="44"/>
          <w:szCs w:val="44"/>
        </w:rPr>
      </w:pPr>
    </w:p>
    <w:p w14:paraId="49FE1C5C" w14:textId="77777777" w:rsidR="0037467E" w:rsidRDefault="0037467E" w:rsidP="0037467E">
      <w:pPr>
        <w:pBdr>
          <w:top w:val="single" w:sz="4" w:space="1" w:color="auto"/>
          <w:left w:val="single" w:sz="4" w:space="4" w:color="auto"/>
          <w:bottom w:val="single" w:sz="4" w:space="1" w:color="auto"/>
          <w:right w:val="single" w:sz="4" w:space="4" w:color="auto"/>
        </w:pBdr>
        <w:spacing w:after="0"/>
        <w:jc w:val="center"/>
        <w:rPr>
          <w:b/>
          <w:bCs/>
          <w:sz w:val="44"/>
          <w:szCs w:val="44"/>
        </w:rPr>
      </w:pPr>
    </w:p>
    <w:p w14:paraId="729F8EE7" w14:textId="492C7E0B" w:rsidR="0037467E" w:rsidRPr="005E2B0C" w:rsidRDefault="0037467E" w:rsidP="0037467E">
      <w:pPr>
        <w:pBdr>
          <w:top w:val="single" w:sz="4" w:space="1" w:color="auto"/>
          <w:left w:val="single" w:sz="4" w:space="4" w:color="auto"/>
          <w:bottom w:val="single" w:sz="4" w:space="1" w:color="auto"/>
          <w:right w:val="single" w:sz="4" w:space="4" w:color="auto"/>
        </w:pBdr>
        <w:spacing w:after="0"/>
        <w:jc w:val="center"/>
        <w:rPr>
          <w:b/>
          <w:bCs/>
          <w:sz w:val="44"/>
          <w:szCs w:val="44"/>
        </w:rPr>
      </w:pPr>
      <w:r w:rsidRPr="005E2B0C">
        <w:rPr>
          <w:b/>
          <w:bCs/>
          <w:sz w:val="44"/>
          <w:szCs w:val="44"/>
        </w:rPr>
        <w:t>Association of Higher Civil &amp; Public Servants</w:t>
      </w:r>
    </w:p>
    <w:p w14:paraId="6E3A2090" w14:textId="77777777" w:rsidR="0037467E" w:rsidRPr="005E2B0C" w:rsidRDefault="0037467E" w:rsidP="0037467E">
      <w:pPr>
        <w:pBdr>
          <w:top w:val="single" w:sz="4" w:space="1" w:color="auto"/>
          <w:left w:val="single" w:sz="4" w:space="4" w:color="auto"/>
          <w:bottom w:val="single" w:sz="4" w:space="1" w:color="auto"/>
          <w:right w:val="single" w:sz="4" w:space="4" w:color="auto"/>
        </w:pBdr>
        <w:spacing w:before="120" w:after="0"/>
        <w:jc w:val="center"/>
        <w:rPr>
          <w:b/>
          <w:bCs/>
          <w:sz w:val="24"/>
          <w:szCs w:val="24"/>
        </w:rPr>
      </w:pPr>
      <w:r>
        <w:rPr>
          <w:sz w:val="24"/>
          <w:szCs w:val="24"/>
        </w:rPr>
        <w:t>(</w:t>
      </w:r>
      <w:proofErr w:type="spellStart"/>
      <w:r w:rsidRPr="005E2B0C">
        <w:rPr>
          <w:sz w:val="24"/>
          <w:szCs w:val="24"/>
        </w:rPr>
        <w:t>Comhlachas</w:t>
      </w:r>
      <w:proofErr w:type="spellEnd"/>
      <w:r w:rsidRPr="005E2B0C">
        <w:rPr>
          <w:sz w:val="24"/>
          <w:szCs w:val="24"/>
        </w:rPr>
        <w:t xml:space="preserve"> </w:t>
      </w:r>
      <w:proofErr w:type="spellStart"/>
      <w:r w:rsidRPr="005E2B0C">
        <w:rPr>
          <w:sz w:val="24"/>
          <w:szCs w:val="24"/>
        </w:rPr>
        <w:t>na</w:t>
      </w:r>
      <w:proofErr w:type="spellEnd"/>
      <w:r w:rsidRPr="005E2B0C">
        <w:rPr>
          <w:sz w:val="24"/>
          <w:szCs w:val="24"/>
        </w:rPr>
        <w:t xml:space="preserve"> </w:t>
      </w:r>
      <w:proofErr w:type="spellStart"/>
      <w:r w:rsidRPr="005E2B0C">
        <w:rPr>
          <w:sz w:val="24"/>
          <w:szCs w:val="24"/>
        </w:rPr>
        <w:t>Seirbhíseach</w:t>
      </w:r>
      <w:proofErr w:type="spellEnd"/>
      <w:r w:rsidRPr="005E2B0C">
        <w:rPr>
          <w:sz w:val="24"/>
          <w:szCs w:val="24"/>
        </w:rPr>
        <w:t xml:space="preserve"> </w:t>
      </w:r>
      <w:proofErr w:type="spellStart"/>
      <w:r w:rsidRPr="005E2B0C">
        <w:rPr>
          <w:sz w:val="24"/>
          <w:szCs w:val="24"/>
        </w:rPr>
        <w:t>Uachtarach</w:t>
      </w:r>
      <w:proofErr w:type="spellEnd"/>
      <w:r w:rsidRPr="005E2B0C">
        <w:rPr>
          <w:sz w:val="24"/>
          <w:szCs w:val="24"/>
        </w:rPr>
        <w:t xml:space="preserve"> </w:t>
      </w:r>
      <w:proofErr w:type="spellStart"/>
      <w:r w:rsidRPr="005E2B0C">
        <w:rPr>
          <w:sz w:val="24"/>
          <w:szCs w:val="24"/>
        </w:rPr>
        <w:t>Stáit</w:t>
      </w:r>
      <w:proofErr w:type="spellEnd"/>
      <w:r w:rsidRPr="005E2B0C">
        <w:rPr>
          <w:sz w:val="24"/>
          <w:szCs w:val="24"/>
        </w:rPr>
        <w:t xml:space="preserve"> </w:t>
      </w:r>
      <w:proofErr w:type="spellStart"/>
      <w:r w:rsidRPr="005E2B0C">
        <w:rPr>
          <w:sz w:val="24"/>
          <w:szCs w:val="24"/>
        </w:rPr>
        <w:t>agus</w:t>
      </w:r>
      <w:proofErr w:type="spellEnd"/>
      <w:r w:rsidRPr="005E2B0C">
        <w:rPr>
          <w:sz w:val="24"/>
          <w:szCs w:val="24"/>
        </w:rPr>
        <w:t xml:space="preserve"> </w:t>
      </w:r>
      <w:proofErr w:type="spellStart"/>
      <w:r w:rsidRPr="005E2B0C">
        <w:rPr>
          <w:sz w:val="24"/>
          <w:szCs w:val="24"/>
        </w:rPr>
        <w:t>Poiblí</w:t>
      </w:r>
      <w:proofErr w:type="spellEnd"/>
      <w:r>
        <w:rPr>
          <w:sz w:val="24"/>
          <w:szCs w:val="24"/>
        </w:rPr>
        <w:t>)</w:t>
      </w:r>
    </w:p>
    <w:p w14:paraId="47001CD6" w14:textId="77777777" w:rsidR="0037467E" w:rsidRDefault="0037467E" w:rsidP="0037467E">
      <w:pPr>
        <w:pBdr>
          <w:top w:val="single" w:sz="4" w:space="1" w:color="auto"/>
          <w:left w:val="single" w:sz="4" w:space="4" w:color="auto"/>
          <w:bottom w:val="single" w:sz="4" w:space="1" w:color="auto"/>
          <w:right w:val="single" w:sz="4" w:space="4" w:color="auto"/>
        </w:pBdr>
        <w:jc w:val="center"/>
        <w:rPr>
          <w:sz w:val="24"/>
          <w:szCs w:val="24"/>
        </w:rPr>
      </w:pPr>
    </w:p>
    <w:p w14:paraId="6A5F2691" w14:textId="77777777" w:rsidR="0037467E" w:rsidRDefault="0037467E" w:rsidP="0037467E">
      <w:pPr>
        <w:pBdr>
          <w:top w:val="single" w:sz="4" w:space="1" w:color="auto"/>
          <w:left w:val="single" w:sz="4" w:space="4" w:color="auto"/>
          <w:bottom w:val="single" w:sz="4" w:space="1" w:color="auto"/>
          <w:right w:val="single" w:sz="4" w:space="4" w:color="auto"/>
        </w:pBdr>
        <w:jc w:val="center"/>
        <w:rPr>
          <w:b/>
          <w:bCs/>
          <w:sz w:val="36"/>
          <w:szCs w:val="36"/>
        </w:rPr>
      </w:pPr>
    </w:p>
    <w:p w14:paraId="5F5766EF" w14:textId="3D7F192C" w:rsidR="0037467E" w:rsidRPr="00C50230" w:rsidRDefault="0037467E" w:rsidP="0037467E">
      <w:pPr>
        <w:pBdr>
          <w:top w:val="single" w:sz="4" w:space="1" w:color="auto"/>
          <w:left w:val="single" w:sz="4" w:space="4" w:color="auto"/>
          <w:bottom w:val="single" w:sz="4" w:space="1" w:color="auto"/>
          <w:right w:val="single" w:sz="4" w:space="4" w:color="auto"/>
        </w:pBdr>
        <w:jc w:val="center"/>
        <w:rPr>
          <w:b/>
          <w:bCs/>
          <w:sz w:val="40"/>
          <w:szCs w:val="40"/>
        </w:rPr>
      </w:pPr>
      <w:r w:rsidRPr="00C50230">
        <w:rPr>
          <w:b/>
          <w:bCs/>
          <w:sz w:val="40"/>
          <w:szCs w:val="40"/>
        </w:rPr>
        <w:t xml:space="preserve">Submission to the </w:t>
      </w:r>
      <w:r w:rsidR="00216054" w:rsidRPr="00C50230">
        <w:rPr>
          <w:b/>
          <w:bCs/>
          <w:sz w:val="40"/>
          <w:szCs w:val="40"/>
        </w:rPr>
        <w:t xml:space="preserve">Department of Finance </w:t>
      </w:r>
    </w:p>
    <w:p w14:paraId="2687E23A" w14:textId="77777777" w:rsidR="002379CE" w:rsidRDefault="002379CE" w:rsidP="0037467E">
      <w:pPr>
        <w:pBdr>
          <w:top w:val="single" w:sz="4" w:space="1" w:color="auto"/>
          <w:left w:val="single" w:sz="4" w:space="4" w:color="auto"/>
          <w:bottom w:val="single" w:sz="4" w:space="1" w:color="auto"/>
          <w:right w:val="single" w:sz="4" w:space="4" w:color="auto"/>
        </w:pBdr>
        <w:jc w:val="center"/>
        <w:rPr>
          <w:sz w:val="36"/>
          <w:szCs w:val="36"/>
        </w:rPr>
      </w:pPr>
    </w:p>
    <w:p w14:paraId="7EAF8DE7" w14:textId="77777777" w:rsidR="009D6E2A" w:rsidRDefault="009D6E2A" w:rsidP="0037467E">
      <w:pPr>
        <w:pBdr>
          <w:top w:val="single" w:sz="4" w:space="1" w:color="auto"/>
          <w:left w:val="single" w:sz="4" w:space="4" w:color="auto"/>
          <w:bottom w:val="single" w:sz="4" w:space="1" w:color="auto"/>
          <w:right w:val="single" w:sz="4" w:space="4" w:color="auto"/>
        </w:pBdr>
        <w:jc w:val="center"/>
        <w:rPr>
          <w:sz w:val="36"/>
          <w:szCs w:val="36"/>
        </w:rPr>
      </w:pPr>
    </w:p>
    <w:p w14:paraId="1CAD2D2B" w14:textId="77777777" w:rsidR="00A8473D" w:rsidRDefault="0094175B" w:rsidP="0037467E">
      <w:pPr>
        <w:pBdr>
          <w:top w:val="single" w:sz="4" w:space="1" w:color="auto"/>
          <w:left w:val="single" w:sz="4" w:space="4" w:color="auto"/>
          <w:bottom w:val="single" w:sz="4" w:space="1" w:color="auto"/>
          <w:right w:val="single" w:sz="4" w:space="4" w:color="auto"/>
        </w:pBdr>
        <w:jc w:val="center"/>
        <w:rPr>
          <w:sz w:val="40"/>
          <w:szCs w:val="40"/>
        </w:rPr>
      </w:pPr>
      <w:r w:rsidRPr="002379CE">
        <w:rPr>
          <w:sz w:val="40"/>
          <w:szCs w:val="40"/>
        </w:rPr>
        <w:t>With Regard To</w:t>
      </w:r>
      <w:r w:rsidR="001A2C00" w:rsidRPr="002379CE">
        <w:rPr>
          <w:sz w:val="40"/>
          <w:szCs w:val="40"/>
        </w:rPr>
        <w:t xml:space="preserve"> Consultation </w:t>
      </w:r>
    </w:p>
    <w:p w14:paraId="18E07B3D" w14:textId="082EA530" w:rsidR="0037467E" w:rsidRPr="00C50230" w:rsidRDefault="001A2C00" w:rsidP="0037467E">
      <w:pPr>
        <w:pBdr>
          <w:top w:val="single" w:sz="4" w:space="1" w:color="auto"/>
          <w:left w:val="single" w:sz="4" w:space="4" w:color="auto"/>
          <w:bottom w:val="single" w:sz="4" w:space="1" w:color="auto"/>
          <w:right w:val="single" w:sz="4" w:space="4" w:color="auto"/>
        </w:pBdr>
        <w:jc w:val="center"/>
        <w:rPr>
          <w:sz w:val="36"/>
          <w:szCs w:val="36"/>
        </w:rPr>
      </w:pPr>
      <w:r w:rsidRPr="002379CE">
        <w:rPr>
          <w:sz w:val="40"/>
          <w:szCs w:val="40"/>
        </w:rPr>
        <w:t>On</w:t>
      </w:r>
      <w:r w:rsidR="00A8473D">
        <w:rPr>
          <w:sz w:val="40"/>
          <w:szCs w:val="40"/>
        </w:rPr>
        <w:t xml:space="preserve"> </w:t>
      </w:r>
      <w:r w:rsidR="00C50230" w:rsidRPr="002379CE">
        <w:rPr>
          <w:sz w:val="40"/>
          <w:szCs w:val="40"/>
        </w:rPr>
        <w:t>The Standard Fund Threshold</w:t>
      </w:r>
      <w:r w:rsidR="0037467E" w:rsidRPr="00C50230">
        <w:rPr>
          <w:sz w:val="36"/>
          <w:szCs w:val="36"/>
        </w:rPr>
        <w:t xml:space="preserve"> </w:t>
      </w:r>
    </w:p>
    <w:p w14:paraId="37C33040" w14:textId="486496BC" w:rsidR="0037467E" w:rsidRDefault="0037467E" w:rsidP="0037467E">
      <w:pPr>
        <w:pBdr>
          <w:top w:val="single" w:sz="4" w:space="1" w:color="auto"/>
          <w:left w:val="single" w:sz="4" w:space="4" w:color="auto"/>
          <w:bottom w:val="single" w:sz="4" w:space="1" w:color="auto"/>
          <w:right w:val="single" w:sz="4" w:space="4" w:color="auto"/>
        </w:pBdr>
        <w:jc w:val="center"/>
        <w:rPr>
          <w:sz w:val="32"/>
          <w:szCs w:val="32"/>
        </w:rPr>
      </w:pPr>
    </w:p>
    <w:p w14:paraId="64B874AF" w14:textId="1A37C403" w:rsidR="00565DE1" w:rsidRDefault="00DE51FE" w:rsidP="0037467E">
      <w:pPr>
        <w:pBdr>
          <w:top w:val="single" w:sz="4" w:space="1" w:color="auto"/>
          <w:left w:val="single" w:sz="4" w:space="4" w:color="auto"/>
          <w:bottom w:val="single" w:sz="4" w:space="1" w:color="auto"/>
          <w:right w:val="single" w:sz="4" w:space="4" w:color="auto"/>
        </w:pBdr>
        <w:jc w:val="center"/>
        <w:rPr>
          <w:sz w:val="32"/>
          <w:szCs w:val="32"/>
        </w:rPr>
      </w:pPr>
      <w:r>
        <w:rPr>
          <w:sz w:val="32"/>
          <w:szCs w:val="32"/>
        </w:rPr>
        <w:t>FEBRUARY 2024</w:t>
      </w:r>
    </w:p>
    <w:p w14:paraId="561ED8B2" w14:textId="77777777" w:rsidR="0037467E" w:rsidRDefault="0037467E" w:rsidP="0037467E">
      <w:pPr>
        <w:pBdr>
          <w:top w:val="single" w:sz="4" w:space="1" w:color="auto"/>
          <w:left w:val="single" w:sz="4" w:space="4" w:color="auto"/>
          <w:bottom w:val="single" w:sz="4" w:space="1" w:color="auto"/>
          <w:right w:val="single" w:sz="4" w:space="4" w:color="auto"/>
        </w:pBdr>
        <w:jc w:val="center"/>
        <w:rPr>
          <w:sz w:val="32"/>
          <w:szCs w:val="32"/>
          <w:u w:val="single"/>
        </w:rPr>
      </w:pPr>
    </w:p>
    <w:p w14:paraId="007F0505" w14:textId="77777777" w:rsidR="002379CE" w:rsidRDefault="002379CE" w:rsidP="0037467E">
      <w:pPr>
        <w:pBdr>
          <w:top w:val="single" w:sz="4" w:space="1" w:color="auto"/>
          <w:left w:val="single" w:sz="4" w:space="4" w:color="auto"/>
          <w:bottom w:val="single" w:sz="4" w:space="1" w:color="auto"/>
          <w:right w:val="single" w:sz="4" w:space="4" w:color="auto"/>
        </w:pBdr>
        <w:jc w:val="center"/>
        <w:rPr>
          <w:sz w:val="32"/>
          <w:szCs w:val="32"/>
          <w:u w:val="single"/>
        </w:rPr>
      </w:pPr>
    </w:p>
    <w:p w14:paraId="6282A1E5" w14:textId="77777777" w:rsidR="00DE51FE" w:rsidRDefault="00DE51FE" w:rsidP="0037467E">
      <w:pPr>
        <w:pBdr>
          <w:top w:val="single" w:sz="4" w:space="1" w:color="auto"/>
          <w:left w:val="single" w:sz="4" w:space="4" w:color="auto"/>
          <w:bottom w:val="single" w:sz="4" w:space="1" w:color="auto"/>
          <w:right w:val="single" w:sz="4" w:space="4" w:color="auto"/>
        </w:pBdr>
        <w:jc w:val="center"/>
        <w:rPr>
          <w:sz w:val="32"/>
          <w:szCs w:val="32"/>
          <w:u w:val="single"/>
        </w:rPr>
      </w:pPr>
    </w:p>
    <w:p w14:paraId="4D33826A" w14:textId="4514FC0B" w:rsidR="0037467E" w:rsidRDefault="0037467E" w:rsidP="0037467E">
      <w:pPr>
        <w:pBdr>
          <w:top w:val="single" w:sz="4" w:space="1" w:color="auto"/>
          <w:left w:val="single" w:sz="4" w:space="4" w:color="auto"/>
          <w:bottom w:val="single" w:sz="4" w:space="1" w:color="auto"/>
          <w:right w:val="single" w:sz="4" w:space="4" w:color="auto"/>
        </w:pBdr>
        <w:jc w:val="center"/>
        <w:rPr>
          <w:sz w:val="24"/>
          <w:szCs w:val="24"/>
        </w:rPr>
      </w:pPr>
      <w:r w:rsidRPr="005E1050">
        <w:rPr>
          <w:sz w:val="24"/>
          <w:szCs w:val="24"/>
        </w:rPr>
        <w:t xml:space="preserve">(Submission required by </w:t>
      </w:r>
      <w:r w:rsidR="00B64589">
        <w:rPr>
          <w:sz w:val="24"/>
          <w:szCs w:val="24"/>
        </w:rPr>
        <w:t>Sunday 11</w:t>
      </w:r>
      <w:r w:rsidR="00B64589" w:rsidRPr="00B64589">
        <w:rPr>
          <w:sz w:val="24"/>
          <w:szCs w:val="24"/>
          <w:vertAlign w:val="superscript"/>
        </w:rPr>
        <w:t>th</w:t>
      </w:r>
      <w:r w:rsidR="00B64589">
        <w:rPr>
          <w:sz w:val="24"/>
          <w:szCs w:val="24"/>
        </w:rPr>
        <w:t xml:space="preserve"> of </w:t>
      </w:r>
      <w:r w:rsidRPr="005E1050">
        <w:rPr>
          <w:sz w:val="24"/>
          <w:szCs w:val="24"/>
        </w:rPr>
        <w:t>February 202</w:t>
      </w:r>
      <w:r w:rsidR="0094175B">
        <w:rPr>
          <w:sz w:val="24"/>
          <w:szCs w:val="24"/>
        </w:rPr>
        <w:t>4</w:t>
      </w:r>
      <w:r w:rsidRPr="005E1050">
        <w:rPr>
          <w:sz w:val="24"/>
          <w:szCs w:val="24"/>
        </w:rPr>
        <w:t>)</w:t>
      </w:r>
    </w:p>
    <w:p w14:paraId="12C4FAB0" w14:textId="29D1E677" w:rsidR="0037467E" w:rsidRDefault="0037467E" w:rsidP="0037467E">
      <w:pPr>
        <w:pBdr>
          <w:top w:val="single" w:sz="4" w:space="1" w:color="auto"/>
          <w:left w:val="single" w:sz="4" w:space="4" w:color="auto"/>
          <w:bottom w:val="single" w:sz="4" w:space="1" w:color="auto"/>
          <w:right w:val="single" w:sz="4" w:space="4" w:color="auto"/>
        </w:pBdr>
        <w:jc w:val="center"/>
        <w:rPr>
          <w:sz w:val="24"/>
          <w:szCs w:val="24"/>
        </w:rPr>
      </w:pPr>
    </w:p>
    <w:p w14:paraId="7483235E" w14:textId="65F0B991" w:rsidR="0037467E" w:rsidRDefault="0037467E" w:rsidP="0037467E">
      <w:pPr>
        <w:pBdr>
          <w:top w:val="single" w:sz="4" w:space="1" w:color="auto"/>
          <w:left w:val="single" w:sz="4" w:space="4" w:color="auto"/>
          <w:bottom w:val="single" w:sz="4" w:space="1" w:color="auto"/>
          <w:right w:val="single" w:sz="4" w:space="4" w:color="auto"/>
        </w:pBdr>
        <w:jc w:val="center"/>
        <w:rPr>
          <w:sz w:val="24"/>
          <w:szCs w:val="24"/>
        </w:rPr>
      </w:pPr>
    </w:p>
    <w:p w14:paraId="5F0BE995" w14:textId="670CE745" w:rsidR="0037467E" w:rsidRDefault="0037467E" w:rsidP="0037467E">
      <w:pPr>
        <w:pBdr>
          <w:top w:val="single" w:sz="4" w:space="1" w:color="auto"/>
          <w:left w:val="single" w:sz="4" w:space="4" w:color="auto"/>
          <w:bottom w:val="single" w:sz="4" w:space="1" w:color="auto"/>
          <w:right w:val="single" w:sz="4" w:space="4" w:color="auto"/>
        </w:pBdr>
        <w:jc w:val="center"/>
        <w:rPr>
          <w:sz w:val="24"/>
          <w:szCs w:val="24"/>
        </w:rPr>
      </w:pPr>
    </w:p>
    <w:p w14:paraId="751142B7" w14:textId="323961F7" w:rsidR="0037467E" w:rsidRDefault="0037467E" w:rsidP="0037467E">
      <w:pPr>
        <w:pBdr>
          <w:top w:val="single" w:sz="4" w:space="1" w:color="auto"/>
          <w:left w:val="single" w:sz="4" w:space="4" w:color="auto"/>
          <w:bottom w:val="single" w:sz="4" w:space="1" w:color="auto"/>
          <w:right w:val="single" w:sz="4" w:space="4" w:color="auto"/>
        </w:pBdr>
        <w:jc w:val="center"/>
        <w:rPr>
          <w:sz w:val="24"/>
          <w:szCs w:val="24"/>
        </w:rPr>
      </w:pPr>
    </w:p>
    <w:p w14:paraId="5E550849" w14:textId="1C19D50F" w:rsidR="0037467E" w:rsidRPr="0046751D" w:rsidRDefault="007F6050" w:rsidP="00DE51FE">
      <w:pPr>
        <w:spacing w:after="480"/>
        <w:rPr>
          <w:b/>
          <w:bCs/>
          <w:color w:val="0070C0"/>
          <w:sz w:val="28"/>
          <w:szCs w:val="28"/>
        </w:rPr>
      </w:pPr>
      <w:r w:rsidRPr="0046751D">
        <w:rPr>
          <w:b/>
          <w:bCs/>
          <w:color w:val="0070C0"/>
          <w:sz w:val="28"/>
          <w:szCs w:val="28"/>
          <w:highlight w:val="lightGray"/>
          <w:bdr w:val="single" w:sz="4" w:space="0" w:color="auto"/>
        </w:rPr>
        <w:lastRenderedPageBreak/>
        <w:t>Key Points</w:t>
      </w:r>
    </w:p>
    <w:p w14:paraId="0A070EBC" w14:textId="529C92C7" w:rsidR="00612D7C" w:rsidRPr="00544A57" w:rsidRDefault="007F6050" w:rsidP="0097285A">
      <w:pPr>
        <w:pStyle w:val="ListParagraph"/>
        <w:numPr>
          <w:ilvl w:val="0"/>
          <w:numId w:val="10"/>
        </w:numPr>
        <w:spacing w:line="276" w:lineRule="auto"/>
        <w:jc w:val="both"/>
        <w:rPr>
          <w:b/>
          <w:bCs/>
          <w:sz w:val="24"/>
          <w:szCs w:val="24"/>
        </w:rPr>
      </w:pPr>
      <w:r w:rsidRPr="00544A57">
        <w:rPr>
          <w:b/>
          <w:bCs/>
          <w:sz w:val="24"/>
          <w:szCs w:val="24"/>
        </w:rPr>
        <w:t>The Standard Fund Threshold</w:t>
      </w:r>
      <w:r w:rsidR="00C930D1" w:rsidRPr="00544A57">
        <w:rPr>
          <w:b/>
          <w:bCs/>
          <w:sz w:val="24"/>
          <w:szCs w:val="24"/>
        </w:rPr>
        <w:t xml:space="preserve"> (SFT)</w:t>
      </w:r>
      <w:r w:rsidRPr="00544A57">
        <w:rPr>
          <w:b/>
          <w:bCs/>
          <w:sz w:val="24"/>
          <w:szCs w:val="24"/>
        </w:rPr>
        <w:t xml:space="preserve"> is set at €2</w:t>
      </w:r>
      <w:r w:rsidR="003D511B" w:rsidRPr="00544A57">
        <w:rPr>
          <w:b/>
          <w:bCs/>
          <w:sz w:val="24"/>
          <w:szCs w:val="24"/>
        </w:rPr>
        <w:t>m from 1</w:t>
      </w:r>
      <w:r w:rsidR="003D511B" w:rsidRPr="00544A57">
        <w:rPr>
          <w:b/>
          <w:bCs/>
          <w:sz w:val="24"/>
          <w:szCs w:val="24"/>
          <w:vertAlign w:val="superscript"/>
        </w:rPr>
        <w:t>st</w:t>
      </w:r>
      <w:r w:rsidR="003D511B" w:rsidRPr="00544A57">
        <w:rPr>
          <w:b/>
          <w:bCs/>
          <w:sz w:val="24"/>
          <w:szCs w:val="24"/>
        </w:rPr>
        <w:t xml:space="preserve"> January 2014</w:t>
      </w:r>
    </w:p>
    <w:p w14:paraId="4FB01928" w14:textId="40CB1CC2" w:rsidR="003D511B" w:rsidRPr="00544A57" w:rsidRDefault="006A4CF7" w:rsidP="0097285A">
      <w:pPr>
        <w:pStyle w:val="ListParagraph"/>
        <w:numPr>
          <w:ilvl w:val="0"/>
          <w:numId w:val="10"/>
        </w:numPr>
        <w:spacing w:line="276" w:lineRule="auto"/>
        <w:jc w:val="both"/>
        <w:rPr>
          <w:b/>
          <w:bCs/>
          <w:sz w:val="24"/>
          <w:szCs w:val="24"/>
        </w:rPr>
      </w:pPr>
      <w:r w:rsidRPr="00544A57">
        <w:rPr>
          <w:b/>
          <w:bCs/>
          <w:sz w:val="24"/>
          <w:szCs w:val="24"/>
        </w:rPr>
        <w:t>The SFT has n</w:t>
      </w:r>
      <w:r w:rsidR="0048185A" w:rsidRPr="00544A57">
        <w:rPr>
          <w:b/>
          <w:bCs/>
          <w:sz w:val="24"/>
          <w:szCs w:val="24"/>
        </w:rPr>
        <w:t xml:space="preserve">either </w:t>
      </w:r>
      <w:r w:rsidRPr="00544A57">
        <w:rPr>
          <w:b/>
          <w:bCs/>
          <w:sz w:val="24"/>
          <w:szCs w:val="24"/>
        </w:rPr>
        <w:t xml:space="preserve">kept pace with </w:t>
      </w:r>
      <w:r w:rsidR="0048185A" w:rsidRPr="00544A57">
        <w:rPr>
          <w:b/>
          <w:bCs/>
          <w:sz w:val="24"/>
          <w:szCs w:val="24"/>
        </w:rPr>
        <w:t xml:space="preserve">the Consumer </w:t>
      </w:r>
      <w:r w:rsidR="002600DA" w:rsidRPr="00544A57">
        <w:rPr>
          <w:b/>
          <w:bCs/>
          <w:sz w:val="24"/>
          <w:szCs w:val="24"/>
        </w:rPr>
        <w:t>P</w:t>
      </w:r>
      <w:r w:rsidR="0048185A" w:rsidRPr="00544A57">
        <w:rPr>
          <w:b/>
          <w:bCs/>
          <w:sz w:val="24"/>
          <w:szCs w:val="24"/>
        </w:rPr>
        <w:t xml:space="preserve">rice Index (CPI) </w:t>
      </w:r>
      <w:r w:rsidR="00B01FF0" w:rsidRPr="00544A57">
        <w:rPr>
          <w:b/>
          <w:bCs/>
          <w:sz w:val="24"/>
          <w:szCs w:val="24"/>
        </w:rPr>
        <w:t>n</w:t>
      </w:r>
      <w:r w:rsidR="0048185A" w:rsidRPr="00544A57">
        <w:rPr>
          <w:b/>
          <w:bCs/>
          <w:sz w:val="24"/>
          <w:szCs w:val="24"/>
        </w:rPr>
        <w:t>or</w:t>
      </w:r>
      <w:r w:rsidR="002600DA" w:rsidRPr="00544A57">
        <w:rPr>
          <w:b/>
          <w:bCs/>
          <w:sz w:val="24"/>
          <w:szCs w:val="24"/>
        </w:rPr>
        <w:t xml:space="preserve"> </w:t>
      </w:r>
      <w:r w:rsidR="00114A56" w:rsidRPr="00544A57">
        <w:rPr>
          <w:b/>
          <w:bCs/>
          <w:sz w:val="24"/>
          <w:szCs w:val="24"/>
        </w:rPr>
        <w:t xml:space="preserve">with </w:t>
      </w:r>
      <w:r w:rsidR="002600DA" w:rsidRPr="00544A57">
        <w:rPr>
          <w:b/>
          <w:bCs/>
          <w:sz w:val="24"/>
          <w:szCs w:val="24"/>
        </w:rPr>
        <w:t>average pay awards</w:t>
      </w:r>
      <w:r w:rsidR="00FA4F92" w:rsidRPr="00544A57">
        <w:rPr>
          <w:b/>
          <w:bCs/>
          <w:sz w:val="24"/>
          <w:szCs w:val="24"/>
        </w:rPr>
        <w:t>.</w:t>
      </w:r>
    </w:p>
    <w:p w14:paraId="3FBF5F9F" w14:textId="77777777" w:rsidR="002D7219" w:rsidRPr="00544A57" w:rsidRDefault="00BD6840" w:rsidP="0097285A">
      <w:pPr>
        <w:pStyle w:val="ListParagraph"/>
        <w:numPr>
          <w:ilvl w:val="0"/>
          <w:numId w:val="10"/>
        </w:numPr>
        <w:spacing w:line="276" w:lineRule="auto"/>
        <w:jc w:val="both"/>
        <w:rPr>
          <w:b/>
          <w:bCs/>
          <w:sz w:val="24"/>
          <w:szCs w:val="24"/>
        </w:rPr>
      </w:pPr>
      <w:r w:rsidRPr="00544A57">
        <w:rPr>
          <w:b/>
          <w:bCs/>
          <w:sz w:val="24"/>
          <w:szCs w:val="24"/>
        </w:rPr>
        <w:t>T</w:t>
      </w:r>
      <w:r w:rsidR="00C52C09" w:rsidRPr="00544A57">
        <w:rPr>
          <w:b/>
          <w:bCs/>
          <w:sz w:val="24"/>
          <w:szCs w:val="24"/>
        </w:rPr>
        <w:t xml:space="preserve">his has brought </w:t>
      </w:r>
      <w:r w:rsidR="00B76AAC" w:rsidRPr="00544A57">
        <w:rPr>
          <w:b/>
          <w:bCs/>
          <w:sz w:val="24"/>
          <w:szCs w:val="24"/>
        </w:rPr>
        <w:t>an individual</w:t>
      </w:r>
      <w:r w:rsidR="009B41BC" w:rsidRPr="00544A57">
        <w:rPr>
          <w:b/>
          <w:bCs/>
          <w:sz w:val="24"/>
          <w:szCs w:val="24"/>
        </w:rPr>
        <w:t>’</w:t>
      </w:r>
      <w:r w:rsidR="00B76AAC" w:rsidRPr="00544A57">
        <w:rPr>
          <w:b/>
          <w:bCs/>
          <w:sz w:val="24"/>
          <w:szCs w:val="24"/>
        </w:rPr>
        <w:t xml:space="preserve">s </w:t>
      </w:r>
      <w:r w:rsidR="009B41BC" w:rsidRPr="00544A57">
        <w:rPr>
          <w:b/>
          <w:bCs/>
          <w:sz w:val="24"/>
          <w:szCs w:val="24"/>
        </w:rPr>
        <w:t xml:space="preserve">maximum </w:t>
      </w:r>
      <w:r w:rsidR="003410C1" w:rsidRPr="00544A57">
        <w:rPr>
          <w:b/>
          <w:bCs/>
          <w:sz w:val="24"/>
          <w:szCs w:val="24"/>
        </w:rPr>
        <w:t xml:space="preserve">tax-relieved pension fund </w:t>
      </w:r>
      <w:r w:rsidR="00651A63" w:rsidRPr="00544A57">
        <w:rPr>
          <w:b/>
          <w:bCs/>
          <w:sz w:val="24"/>
          <w:szCs w:val="24"/>
        </w:rPr>
        <w:t xml:space="preserve">within the scope of </w:t>
      </w:r>
      <w:r w:rsidR="00A9755F" w:rsidRPr="00544A57">
        <w:rPr>
          <w:b/>
          <w:bCs/>
          <w:sz w:val="24"/>
          <w:szCs w:val="24"/>
        </w:rPr>
        <w:t>chargeable excess tax</w:t>
      </w:r>
      <w:r w:rsidR="008C2DE7" w:rsidRPr="00544A57">
        <w:rPr>
          <w:b/>
          <w:bCs/>
          <w:sz w:val="24"/>
          <w:szCs w:val="24"/>
        </w:rPr>
        <w:t>.</w:t>
      </w:r>
      <w:r w:rsidR="00A9755F" w:rsidRPr="00544A57">
        <w:rPr>
          <w:b/>
          <w:bCs/>
          <w:sz w:val="24"/>
          <w:szCs w:val="24"/>
        </w:rPr>
        <w:t xml:space="preserve"> </w:t>
      </w:r>
    </w:p>
    <w:p w14:paraId="115FBA58" w14:textId="77777777" w:rsidR="00E32AD5" w:rsidRDefault="007006B5" w:rsidP="0097285A">
      <w:pPr>
        <w:pStyle w:val="ListParagraph"/>
        <w:numPr>
          <w:ilvl w:val="0"/>
          <w:numId w:val="10"/>
        </w:numPr>
        <w:spacing w:line="276" w:lineRule="auto"/>
        <w:jc w:val="both"/>
        <w:rPr>
          <w:b/>
          <w:bCs/>
          <w:sz w:val="24"/>
          <w:szCs w:val="24"/>
        </w:rPr>
      </w:pPr>
      <w:r w:rsidRPr="00544A57">
        <w:rPr>
          <w:b/>
          <w:bCs/>
          <w:sz w:val="24"/>
          <w:szCs w:val="24"/>
        </w:rPr>
        <w:t xml:space="preserve">This </w:t>
      </w:r>
      <w:r w:rsidR="002D7219" w:rsidRPr="00544A57">
        <w:rPr>
          <w:b/>
          <w:bCs/>
          <w:sz w:val="24"/>
          <w:szCs w:val="24"/>
        </w:rPr>
        <w:t xml:space="preserve">can be argued as an unintended consequence </w:t>
      </w:r>
      <w:r w:rsidRPr="00544A57">
        <w:rPr>
          <w:b/>
          <w:bCs/>
          <w:sz w:val="24"/>
          <w:szCs w:val="24"/>
        </w:rPr>
        <w:t>given that the Minister for Finance may amend the SFT</w:t>
      </w:r>
      <w:r w:rsidR="00C61EE4" w:rsidRPr="00544A57">
        <w:rPr>
          <w:b/>
          <w:bCs/>
          <w:sz w:val="24"/>
          <w:szCs w:val="24"/>
        </w:rPr>
        <w:t xml:space="preserve"> in line with </w:t>
      </w:r>
      <w:r w:rsidR="000F061E" w:rsidRPr="00544A57">
        <w:rPr>
          <w:b/>
          <w:bCs/>
          <w:sz w:val="24"/>
          <w:szCs w:val="24"/>
        </w:rPr>
        <w:t>an earnings adjustment factor as provided for under legislation.</w:t>
      </w:r>
    </w:p>
    <w:p w14:paraId="020C1BA3" w14:textId="798A51ED" w:rsidR="00FA4F92" w:rsidRPr="00544A57" w:rsidRDefault="00252AEB" w:rsidP="00170E85">
      <w:pPr>
        <w:pStyle w:val="ListParagraph"/>
        <w:numPr>
          <w:ilvl w:val="0"/>
          <w:numId w:val="10"/>
        </w:numPr>
        <w:spacing w:after="480" w:line="276" w:lineRule="auto"/>
        <w:jc w:val="both"/>
        <w:rPr>
          <w:b/>
          <w:bCs/>
          <w:sz w:val="24"/>
          <w:szCs w:val="24"/>
        </w:rPr>
      </w:pPr>
      <w:r>
        <w:rPr>
          <w:b/>
          <w:bCs/>
          <w:sz w:val="24"/>
          <w:szCs w:val="24"/>
        </w:rPr>
        <w:t xml:space="preserve">There is a need </w:t>
      </w:r>
      <w:r w:rsidR="00E32AD5">
        <w:rPr>
          <w:b/>
          <w:bCs/>
          <w:sz w:val="24"/>
          <w:szCs w:val="24"/>
        </w:rPr>
        <w:t xml:space="preserve">for automatic indexation going forward and </w:t>
      </w:r>
      <w:r w:rsidR="004A1C28">
        <w:rPr>
          <w:b/>
          <w:bCs/>
          <w:sz w:val="24"/>
          <w:szCs w:val="24"/>
        </w:rPr>
        <w:t xml:space="preserve">to </w:t>
      </w:r>
      <w:r w:rsidR="00021BE9">
        <w:rPr>
          <w:b/>
          <w:bCs/>
          <w:sz w:val="24"/>
          <w:szCs w:val="24"/>
        </w:rPr>
        <w:t>revis</w:t>
      </w:r>
      <w:r w:rsidR="004A1C28">
        <w:rPr>
          <w:b/>
          <w:bCs/>
          <w:sz w:val="24"/>
          <w:szCs w:val="24"/>
        </w:rPr>
        <w:t xml:space="preserve">e </w:t>
      </w:r>
      <w:r w:rsidR="00FC6A16">
        <w:rPr>
          <w:b/>
          <w:bCs/>
          <w:sz w:val="24"/>
          <w:szCs w:val="24"/>
        </w:rPr>
        <w:t xml:space="preserve">upwards </w:t>
      </w:r>
      <w:r w:rsidR="00021BE9">
        <w:rPr>
          <w:b/>
          <w:bCs/>
          <w:sz w:val="24"/>
          <w:szCs w:val="24"/>
        </w:rPr>
        <w:t xml:space="preserve">the current </w:t>
      </w:r>
      <w:r w:rsidR="00486A32">
        <w:rPr>
          <w:b/>
          <w:bCs/>
          <w:sz w:val="24"/>
          <w:szCs w:val="24"/>
        </w:rPr>
        <w:t xml:space="preserve">SFT </w:t>
      </w:r>
      <w:r w:rsidR="00021BE9">
        <w:rPr>
          <w:b/>
          <w:bCs/>
          <w:sz w:val="24"/>
          <w:szCs w:val="24"/>
        </w:rPr>
        <w:t>threshold of €2m</w:t>
      </w:r>
      <w:r w:rsidR="00FC6A16">
        <w:rPr>
          <w:b/>
          <w:bCs/>
          <w:sz w:val="24"/>
          <w:szCs w:val="24"/>
        </w:rPr>
        <w:t xml:space="preserve"> to approximately €2.5</w:t>
      </w:r>
      <w:r w:rsidR="003F1267">
        <w:rPr>
          <w:b/>
          <w:bCs/>
          <w:sz w:val="24"/>
          <w:szCs w:val="24"/>
        </w:rPr>
        <w:t>/2.6m</w:t>
      </w:r>
      <w:r w:rsidR="004A1C28">
        <w:rPr>
          <w:b/>
          <w:bCs/>
          <w:sz w:val="24"/>
          <w:szCs w:val="24"/>
        </w:rPr>
        <w:t xml:space="preserve"> to allow </w:t>
      </w:r>
      <w:r w:rsidR="00E847A7">
        <w:rPr>
          <w:b/>
          <w:bCs/>
          <w:sz w:val="24"/>
          <w:szCs w:val="24"/>
        </w:rPr>
        <w:t xml:space="preserve">for indexation from 2014 to 2024. </w:t>
      </w:r>
      <w:r w:rsidR="00E32AD5">
        <w:rPr>
          <w:b/>
          <w:bCs/>
          <w:sz w:val="24"/>
          <w:szCs w:val="24"/>
        </w:rPr>
        <w:t xml:space="preserve"> </w:t>
      </w:r>
      <w:r w:rsidR="007006B5" w:rsidRPr="00544A57">
        <w:rPr>
          <w:b/>
          <w:bCs/>
          <w:sz w:val="24"/>
          <w:szCs w:val="24"/>
        </w:rPr>
        <w:t xml:space="preserve"> </w:t>
      </w:r>
      <w:r w:rsidR="003B3D67" w:rsidRPr="00544A57">
        <w:rPr>
          <w:b/>
          <w:bCs/>
          <w:sz w:val="24"/>
          <w:szCs w:val="24"/>
        </w:rPr>
        <w:t xml:space="preserve"> </w:t>
      </w:r>
    </w:p>
    <w:p w14:paraId="4F0C3B3C" w14:textId="366B8DA5" w:rsidR="00DF2CBB" w:rsidRPr="0046751D" w:rsidRDefault="00DF2CBB" w:rsidP="00DF2CBB">
      <w:pPr>
        <w:rPr>
          <w:b/>
          <w:bCs/>
          <w:color w:val="0070C0"/>
          <w:sz w:val="28"/>
          <w:szCs w:val="28"/>
        </w:rPr>
      </w:pPr>
      <w:r w:rsidRPr="0046751D">
        <w:rPr>
          <w:b/>
          <w:bCs/>
          <w:color w:val="0070C0"/>
          <w:sz w:val="28"/>
          <w:szCs w:val="28"/>
          <w:highlight w:val="lightGray"/>
          <w:bdr w:val="single" w:sz="4" w:space="0" w:color="auto"/>
        </w:rPr>
        <w:t>Introduction</w:t>
      </w:r>
    </w:p>
    <w:p w14:paraId="2A91ACD5" w14:textId="050018B0" w:rsidR="00544A57" w:rsidRDefault="004D1F72" w:rsidP="007639F6">
      <w:pPr>
        <w:spacing w:before="240"/>
        <w:jc w:val="both"/>
        <w:rPr>
          <w:sz w:val="24"/>
          <w:szCs w:val="24"/>
        </w:rPr>
      </w:pPr>
      <w:r>
        <w:rPr>
          <w:sz w:val="24"/>
          <w:szCs w:val="24"/>
        </w:rPr>
        <w:t>1.0</w:t>
      </w:r>
      <w:r w:rsidR="00366F4B">
        <w:rPr>
          <w:sz w:val="24"/>
          <w:szCs w:val="24"/>
        </w:rPr>
        <w:tab/>
      </w:r>
      <w:r w:rsidR="00365A32" w:rsidRPr="007663CA">
        <w:rPr>
          <w:sz w:val="24"/>
          <w:szCs w:val="24"/>
        </w:rPr>
        <w:t>Th</w:t>
      </w:r>
      <w:r w:rsidR="009D7855" w:rsidRPr="007663CA">
        <w:rPr>
          <w:sz w:val="24"/>
          <w:szCs w:val="24"/>
        </w:rPr>
        <w:t xml:space="preserve">e </w:t>
      </w:r>
      <w:r w:rsidR="003D28EA" w:rsidRPr="007663CA">
        <w:rPr>
          <w:sz w:val="24"/>
          <w:szCs w:val="24"/>
        </w:rPr>
        <w:t>Association of Higher Civil &amp; Public Servants</w:t>
      </w:r>
      <w:r w:rsidR="00C755E3">
        <w:rPr>
          <w:sz w:val="24"/>
          <w:szCs w:val="24"/>
        </w:rPr>
        <w:t xml:space="preserve"> (AHCPS)</w:t>
      </w:r>
      <w:r w:rsidR="003D28EA" w:rsidRPr="007663CA">
        <w:rPr>
          <w:sz w:val="24"/>
          <w:szCs w:val="24"/>
        </w:rPr>
        <w:t xml:space="preserve"> </w:t>
      </w:r>
      <w:r w:rsidR="00365A32" w:rsidRPr="007663CA">
        <w:rPr>
          <w:sz w:val="24"/>
          <w:szCs w:val="24"/>
        </w:rPr>
        <w:t>is a</w:t>
      </w:r>
      <w:r w:rsidR="008C0F68">
        <w:rPr>
          <w:sz w:val="24"/>
          <w:szCs w:val="24"/>
        </w:rPr>
        <w:t xml:space="preserve"> registered trade union affiliated </w:t>
      </w:r>
      <w:r w:rsidR="00451573">
        <w:rPr>
          <w:sz w:val="24"/>
          <w:szCs w:val="24"/>
        </w:rPr>
        <w:t xml:space="preserve">to the Irish Congress of Trade Unions. </w:t>
      </w:r>
      <w:r w:rsidR="008E2AF7">
        <w:rPr>
          <w:sz w:val="24"/>
          <w:szCs w:val="24"/>
        </w:rPr>
        <w:t xml:space="preserve">Our membership </w:t>
      </w:r>
      <w:r w:rsidR="005A5350">
        <w:rPr>
          <w:sz w:val="24"/>
          <w:szCs w:val="24"/>
        </w:rPr>
        <w:t>on</w:t>
      </w:r>
      <w:r w:rsidR="00C755E3">
        <w:rPr>
          <w:sz w:val="24"/>
          <w:szCs w:val="24"/>
        </w:rPr>
        <w:t xml:space="preserve"> 31</w:t>
      </w:r>
      <w:r w:rsidR="00C755E3" w:rsidRPr="00C755E3">
        <w:rPr>
          <w:sz w:val="24"/>
          <w:szCs w:val="24"/>
          <w:vertAlign w:val="superscript"/>
        </w:rPr>
        <w:t>st</w:t>
      </w:r>
      <w:r w:rsidR="00C755E3">
        <w:rPr>
          <w:sz w:val="24"/>
          <w:szCs w:val="24"/>
        </w:rPr>
        <w:t xml:space="preserve"> December 2023</w:t>
      </w:r>
      <w:r w:rsidR="005A5350">
        <w:rPr>
          <w:sz w:val="24"/>
          <w:szCs w:val="24"/>
        </w:rPr>
        <w:t>,</w:t>
      </w:r>
      <w:r w:rsidR="00C755E3">
        <w:rPr>
          <w:sz w:val="24"/>
          <w:szCs w:val="24"/>
        </w:rPr>
        <w:t xml:space="preserve"> as reported to the Department of Enterprise Trade &amp; Employment</w:t>
      </w:r>
      <w:r w:rsidR="005A5350">
        <w:rPr>
          <w:sz w:val="24"/>
          <w:szCs w:val="24"/>
        </w:rPr>
        <w:t>,</w:t>
      </w:r>
      <w:r w:rsidR="00C755E3">
        <w:rPr>
          <w:sz w:val="24"/>
          <w:szCs w:val="24"/>
        </w:rPr>
        <w:t xml:space="preserve"> </w:t>
      </w:r>
      <w:r w:rsidR="009C2FF4">
        <w:rPr>
          <w:sz w:val="24"/>
          <w:szCs w:val="24"/>
        </w:rPr>
        <w:t>stood at 3,880 and is currently advancing on 4,000 members</w:t>
      </w:r>
      <w:r w:rsidR="005A5350">
        <w:rPr>
          <w:sz w:val="24"/>
          <w:szCs w:val="24"/>
        </w:rPr>
        <w:t xml:space="preserve">. These </w:t>
      </w:r>
      <w:r w:rsidR="004F16DF">
        <w:rPr>
          <w:sz w:val="24"/>
          <w:szCs w:val="24"/>
        </w:rPr>
        <w:t xml:space="preserve">are senior civil servants and managers </w:t>
      </w:r>
      <w:r w:rsidR="001A5209">
        <w:rPr>
          <w:sz w:val="24"/>
          <w:szCs w:val="24"/>
        </w:rPr>
        <w:t xml:space="preserve">at Principal Officer and Assistant Principal </w:t>
      </w:r>
      <w:r w:rsidR="00C5297E">
        <w:rPr>
          <w:sz w:val="24"/>
          <w:szCs w:val="24"/>
        </w:rPr>
        <w:t xml:space="preserve">grades </w:t>
      </w:r>
      <w:r w:rsidR="004F16DF">
        <w:rPr>
          <w:sz w:val="24"/>
          <w:szCs w:val="24"/>
        </w:rPr>
        <w:t xml:space="preserve">in the </w:t>
      </w:r>
      <w:r w:rsidR="00AD1CFF">
        <w:rPr>
          <w:sz w:val="24"/>
          <w:szCs w:val="24"/>
        </w:rPr>
        <w:t xml:space="preserve">commercial and non-commercial </w:t>
      </w:r>
      <w:r w:rsidR="004F16DF">
        <w:rPr>
          <w:sz w:val="24"/>
          <w:szCs w:val="24"/>
        </w:rPr>
        <w:t xml:space="preserve">state sector. </w:t>
      </w:r>
      <w:r w:rsidR="00C5297E">
        <w:rPr>
          <w:sz w:val="24"/>
          <w:szCs w:val="24"/>
        </w:rPr>
        <w:t xml:space="preserve">Our members are key policy </w:t>
      </w:r>
      <w:r w:rsidR="00012CD0">
        <w:rPr>
          <w:sz w:val="24"/>
          <w:szCs w:val="24"/>
        </w:rPr>
        <w:t>influencers and</w:t>
      </w:r>
      <w:r w:rsidR="00387429">
        <w:rPr>
          <w:sz w:val="24"/>
          <w:szCs w:val="24"/>
        </w:rPr>
        <w:t xml:space="preserve"> </w:t>
      </w:r>
      <w:r w:rsidR="00DA1E5A">
        <w:rPr>
          <w:sz w:val="24"/>
          <w:szCs w:val="24"/>
        </w:rPr>
        <w:t xml:space="preserve">civil and </w:t>
      </w:r>
      <w:r w:rsidR="00387429">
        <w:rPr>
          <w:sz w:val="24"/>
          <w:szCs w:val="24"/>
        </w:rPr>
        <w:t xml:space="preserve">public service providers </w:t>
      </w:r>
      <w:r w:rsidR="00563D8C">
        <w:rPr>
          <w:sz w:val="24"/>
          <w:szCs w:val="24"/>
        </w:rPr>
        <w:t xml:space="preserve">who have made, and continue to make, a major contribution to </w:t>
      </w:r>
      <w:r w:rsidR="00454C33">
        <w:rPr>
          <w:sz w:val="24"/>
          <w:szCs w:val="24"/>
        </w:rPr>
        <w:t xml:space="preserve">Irish life </w:t>
      </w:r>
      <w:r w:rsidR="00563D8C">
        <w:rPr>
          <w:sz w:val="24"/>
          <w:szCs w:val="24"/>
        </w:rPr>
        <w:t>a</w:t>
      </w:r>
      <w:r w:rsidR="00454C33">
        <w:rPr>
          <w:sz w:val="24"/>
          <w:szCs w:val="24"/>
        </w:rPr>
        <w:t xml:space="preserve">nd administrative, </w:t>
      </w:r>
      <w:r w:rsidR="00544A57">
        <w:rPr>
          <w:sz w:val="24"/>
          <w:szCs w:val="24"/>
        </w:rPr>
        <w:t>economic,</w:t>
      </w:r>
      <w:r w:rsidR="00A32175">
        <w:rPr>
          <w:sz w:val="24"/>
          <w:szCs w:val="24"/>
        </w:rPr>
        <w:t xml:space="preserve"> and social developments since the foundation of the State. </w:t>
      </w:r>
    </w:p>
    <w:p w14:paraId="353D9CE2" w14:textId="46036474" w:rsidR="00606D9E" w:rsidRDefault="004D1F72" w:rsidP="00132F73">
      <w:pPr>
        <w:jc w:val="both"/>
        <w:rPr>
          <w:sz w:val="24"/>
          <w:szCs w:val="24"/>
        </w:rPr>
      </w:pPr>
      <w:r>
        <w:rPr>
          <w:sz w:val="24"/>
          <w:szCs w:val="24"/>
        </w:rPr>
        <w:t>1.1</w:t>
      </w:r>
      <w:r w:rsidR="00366F4B">
        <w:rPr>
          <w:sz w:val="24"/>
          <w:szCs w:val="24"/>
        </w:rPr>
        <w:tab/>
      </w:r>
      <w:r w:rsidR="00425AA4">
        <w:rPr>
          <w:sz w:val="24"/>
          <w:szCs w:val="24"/>
        </w:rPr>
        <w:t>Our members</w:t>
      </w:r>
      <w:r w:rsidR="00A21FC0">
        <w:rPr>
          <w:sz w:val="24"/>
          <w:szCs w:val="24"/>
        </w:rPr>
        <w:t xml:space="preserve"> </w:t>
      </w:r>
      <w:r w:rsidR="002441F3">
        <w:rPr>
          <w:sz w:val="24"/>
          <w:szCs w:val="24"/>
        </w:rPr>
        <w:t>mainly</w:t>
      </w:r>
      <w:r w:rsidR="0001074B">
        <w:rPr>
          <w:sz w:val="24"/>
          <w:szCs w:val="24"/>
        </w:rPr>
        <w:t xml:space="preserve"> </w:t>
      </w:r>
      <w:r w:rsidR="00A21FC0">
        <w:rPr>
          <w:sz w:val="24"/>
          <w:szCs w:val="24"/>
        </w:rPr>
        <w:t xml:space="preserve">fall into three categories </w:t>
      </w:r>
      <w:r w:rsidR="00EF3DBD">
        <w:rPr>
          <w:sz w:val="24"/>
          <w:szCs w:val="24"/>
        </w:rPr>
        <w:t>for pension purposes</w:t>
      </w:r>
      <w:r w:rsidR="00BE51DF">
        <w:rPr>
          <w:sz w:val="24"/>
          <w:szCs w:val="24"/>
        </w:rPr>
        <w:t xml:space="preserve">. Pre 1995 </w:t>
      </w:r>
      <w:r w:rsidR="006120C0">
        <w:rPr>
          <w:sz w:val="24"/>
          <w:szCs w:val="24"/>
        </w:rPr>
        <w:t>entrants</w:t>
      </w:r>
      <w:r w:rsidR="00C12BF2">
        <w:rPr>
          <w:sz w:val="24"/>
          <w:szCs w:val="24"/>
        </w:rPr>
        <w:t xml:space="preserve"> and P</w:t>
      </w:r>
      <w:r w:rsidR="006120C0">
        <w:rPr>
          <w:sz w:val="24"/>
          <w:szCs w:val="24"/>
        </w:rPr>
        <w:t xml:space="preserve">ost 1995 entrants </w:t>
      </w:r>
      <w:r w:rsidR="00C12BF2">
        <w:rPr>
          <w:sz w:val="24"/>
          <w:szCs w:val="24"/>
        </w:rPr>
        <w:t xml:space="preserve">both </w:t>
      </w:r>
      <w:r w:rsidR="00784B70">
        <w:rPr>
          <w:sz w:val="24"/>
          <w:szCs w:val="24"/>
        </w:rPr>
        <w:t xml:space="preserve">in defined benefit schemes </w:t>
      </w:r>
      <w:r w:rsidR="00AC6E88">
        <w:rPr>
          <w:sz w:val="24"/>
          <w:szCs w:val="24"/>
        </w:rPr>
        <w:t xml:space="preserve">with an increasing number </w:t>
      </w:r>
      <w:r w:rsidR="006120C0">
        <w:rPr>
          <w:sz w:val="24"/>
          <w:szCs w:val="24"/>
        </w:rPr>
        <w:t>in service since 1</w:t>
      </w:r>
      <w:r w:rsidR="006120C0" w:rsidRPr="006120C0">
        <w:rPr>
          <w:sz w:val="24"/>
          <w:szCs w:val="24"/>
          <w:vertAlign w:val="superscript"/>
        </w:rPr>
        <w:t>st</w:t>
      </w:r>
      <w:r w:rsidR="006120C0">
        <w:rPr>
          <w:sz w:val="24"/>
          <w:szCs w:val="24"/>
        </w:rPr>
        <w:t xml:space="preserve"> January 2013 </w:t>
      </w:r>
      <w:r w:rsidR="00784B70">
        <w:rPr>
          <w:sz w:val="24"/>
          <w:szCs w:val="24"/>
        </w:rPr>
        <w:t xml:space="preserve">in the new </w:t>
      </w:r>
      <w:r w:rsidR="00195DB9">
        <w:rPr>
          <w:sz w:val="24"/>
          <w:szCs w:val="24"/>
        </w:rPr>
        <w:t>single pension scheme.</w:t>
      </w:r>
      <w:r w:rsidR="00AC6E88">
        <w:rPr>
          <w:sz w:val="24"/>
          <w:szCs w:val="24"/>
        </w:rPr>
        <w:t xml:space="preserve"> </w:t>
      </w:r>
      <w:r w:rsidR="00CC0D6A">
        <w:rPr>
          <w:sz w:val="24"/>
          <w:szCs w:val="24"/>
        </w:rPr>
        <w:t xml:space="preserve">Pre &amp; </w:t>
      </w:r>
      <w:r w:rsidR="00D13C99">
        <w:rPr>
          <w:sz w:val="24"/>
          <w:szCs w:val="24"/>
        </w:rPr>
        <w:t>P</w:t>
      </w:r>
      <w:r w:rsidR="00CC0D6A">
        <w:rPr>
          <w:sz w:val="24"/>
          <w:szCs w:val="24"/>
        </w:rPr>
        <w:t xml:space="preserve">ost ’95 entrants </w:t>
      </w:r>
      <w:r w:rsidR="00B34B76">
        <w:rPr>
          <w:sz w:val="24"/>
          <w:szCs w:val="24"/>
        </w:rPr>
        <w:t>may retire at age 60</w:t>
      </w:r>
      <w:r w:rsidR="002441F3">
        <w:rPr>
          <w:sz w:val="24"/>
          <w:szCs w:val="24"/>
        </w:rPr>
        <w:t xml:space="preserve"> </w:t>
      </w:r>
      <w:r w:rsidR="00D4465D">
        <w:rPr>
          <w:sz w:val="24"/>
          <w:szCs w:val="24"/>
        </w:rPr>
        <w:t>with those in service since 1</w:t>
      </w:r>
      <w:r w:rsidR="00D4465D" w:rsidRPr="00D4465D">
        <w:rPr>
          <w:sz w:val="24"/>
          <w:szCs w:val="24"/>
          <w:vertAlign w:val="superscript"/>
        </w:rPr>
        <w:t>st</w:t>
      </w:r>
      <w:r w:rsidR="00D4465D">
        <w:rPr>
          <w:sz w:val="24"/>
          <w:szCs w:val="24"/>
        </w:rPr>
        <w:t xml:space="preserve"> January 2013 linked to the </w:t>
      </w:r>
      <w:r w:rsidR="00F833B0">
        <w:rPr>
          <w:sz w:val="24"/>
          <w:szCs w:val="24"/>
        </w:rPr>
        <w:t>State Pension retirement age currently at</w:t>
      </w:r>
      <w:r w:rsidR="00617308">
        <w:rPr>
          <w:sz w:val="24"/>
          <w:szCs w:val="24"/>
        </w:rPr>
        <w:t xml:space="preserve"> 66 years. </w:t>
      </w:r>
      <w:r w:rsidR="00353E4D">
        <w:rPr>
          <w:sz w:val="24"/>
          <w:szCs w:val="24"/>
        </w:rPr>
        <w:t xml:space="preserve">Our members are required to have 40 </w:t>
      </w:r>
      <w:r w:rsidR="00384335">
        <w:rPr>
          <w:sz w:val="24"/>
          <w:szCs w:val="24"/>
        </w:rPr>
        <w:t>years</w:t>
      </w:r>
      <w:r w:rsidR="00641568">
        <w:rPr>
          <w:sz w:val="24"/>
          <w:szCs w:val="24"/>
        </w:rPr>
        <w:t>-</w:t>
      </w:r>
      <w:r w:rsidR="00384335">
        <w:rPr>
          <w:sz w:val="24"/>
          <w:szCs w:val="24"/>
        </w:rPr>
        <w:t>service</w:t>
      </w:r>
      <w:r w:rsidR="00353E4D">
        <w:rPr>
          <w:sz w:val="24"/>
          <w:szCs w:val="24"/>
        </w:rPr>
        <w:t xml:space="preserve"> to be</w:t>
      </w:r>
      <w:r w:rsidR="00384335">
        <w:rPr>
          <w:sz w:val="24"/>
          <w:szCs w:val="24"/>
        </w:rPr>
        <w:t xml:space="preserve"> eligible for full pension. </w:t>
      </w:r>
      <w:r w:rsidR="000E0A31">
        <w:rPr>
          <w:sz w:val="24"/>
          <w:szCs w:val="24"/>
        </w:rPr>
        <w:t xml:space="preserve">Those with </w:t>
      </w:r>
      <w:r w:rsidR="0020426D">
        <w:rPr>
          <w:sz w:val="24"/>
          <w:szCs w:val="24"/>
        </w:rPr>
        <w:t xml:space="preserve">shorter service </w:t>
      </w:r>
      <w:r w:rsidR="00FF3823">
        <w:rPr>
          <w:sz w:val="24"/>
          <w:szCs w:val="24"/>
        </w:rPr>
        <w:t xml:space="preserve">need to make Additional Voluntary Contributions or AVCs </w:t>
      </w:r>
      <w:r w:rsidR="00CA6919">
        <w:rPr>
          <w:sz w:val="24"/>
          <w:szCs w:val="24"/>
        </w:rPr>
        <w:t>to provide for pension shortfalls or</w:t>
      </w:r>
      <w:r w:rsidR="00486682">
        <w:rPr>
          <w:sz w:val="24"/>
          <w:szCs w:val="24"/>
        </w:rPr>
        <w:t xml:space="preserve"> as required under the mechanism of the new 2013 Scheme. </w:t>
      </w:r>
    </w:p>
    <w:p w14:paraId="75188EBB" w14:textId="14108F2E" w:rsidR="000D0789" w:rsidRDefault="000D3C1B" w:rsidP="00132F73">
      <w:pPr>
        <w:jc w:val="both"/>
        <w:rPr>
          <w:sz w:val="24"/>
          <w:szCs w:val="24"/>
        </w:rPr>
      </w:pPr>
      <w:r>
        <w:rPr>
          <w:sz w:val="24"/>
          <w:szCs w:val="24"/>
        </w:rPr>
        <w:t>1.2</w:t>
      </w:r>
      <w:r>
        <w:rPr>
          <w:sz w:val="24"/>
          <w:szCs w:val="24"/>
        </w:rPr>
        <w:tab/>
      </w:r>
      <w:r w:rsidR="00A572B1">
        <w:rPr>
          <w:sz w:val="24"/>
          <w:szCs w:val="24"/>
        </w:rPr>
        <w:t xml:space="preserve">But either way none of our members have previously come within the scope of </w:t>
      </w:r>
      <w:r w:rsidR="00E66383">
        <w:rPr>
          <w:sz w:val="24"/>
          <w:szCs w:val="24"/>
        </w:rPr>
        <w:t>chargeable excess tax</w:t>
      </w:r>
      <w:r w:rsidR="00D93E83">
        <w:rPr>
          <w:sz w:val="24"/>
          <w:szCs w:val="24"/>
        </w:rPr>
        <w:t xml:space="preserve">. </w:t>
      </w:r>
      <w:r w:rsidR="00860FAA">
        <w:rPr>
          <w:sz w:val="24"/>
          <w:szCs w:val="24"/>
        </w:rPr>
        <w:t xml:space="preserve">This position has changed </w:t>
      </w:r>
      <w:r w:rsidR="0098049D">
        <w:rPr>
          <w:sz w:val="24"/>
          <w:szCs w:val="24"/>
        </w:rPr>
        <w:t xml:space="preserve">because the SFT has not kept pace with </w:t>
      </w:r>
      <w:r w:rsidR="009446B4">
        <w:rPr>
          <w:sz w:val="24"/>
          <w:szCs w:val="24"/>
        </w:rPr>
        <w:t>national pay awards in the public sector such as the Building Momentum Agreement</w:t>
      </w:r>
      <w:r w:rsidR="0048303E">
        <w:rPr>
          <w:sz w:val="24"/>
          <w:szCs w:val="24"/>
        </w:rPr>
        <w:t xml:space="preserve"> and extension</w:t>
      </w:r>
      <w:r w:rsidR="009446B4">
        <w:rPr>
          <w:sz w:val="24"/>
          <w:szCs w:val="24"/>
        </w:rPr>
        <w:t xml:space="preserve"> and </w:t>
      </w:r>
      <w:r w:rsidR="00553636">
        <w:rPr>
          <w:sz w:val="24"/>
          <w:szCs w:val="24"/>
        </w:rPr>
        <w:t>recently finalised pay proposals for 2024 to 2026.</w:t>
      </w:r>
      <w:r w:rsidR="0048303E">
        <w:rPr>
          <w:sz w:val="24"/>
          <w:szCs w:val="24"/>
        </w:rPr>
        <w:t xml:space="preserve"> </w:t>
      </w:r>
    </w:p>
    <w:p w14:paraId="1C3EB873" w14:textId="77777777" w:rsidR="00C11B8A" w:rsidRDefault="004D1F72" w:rsidP="002427EB">
      <w:pPr>
        <w:spacing w:after="600"/>
        <w:jc w:val="both"/>
        <w:rPr>
          <w:sz w:val="24"/>
          <w:szCs w:val="24"/>
        </w:rPr>
      </w:pPr>
      <w:r>
        <w:rPr>
          <w:sz w:val="24"/>
          <w:szCs w:val="24"/>
        </w:rPr>
        <w:t>1.</w:t>
      </w:r>
      <w:r w:rsidR="000D3C1B">
        <w:rPr>
          <w:sz w:val="24"/>
          <w:szCs w:val="24"/>
        </w:rPr>
        <w:t>3</w:t>
      </w:r>
      <w:r w:rsidR="00366F4B">
        <w:rPr>
          <w:sz w:val="24"/>
          <w:szCs w:val="24"/>
        </w:rPr>
        <w:tab/>
      </w:r>
      <w:r w:rsidR="00687559" w:rsidRPr="00077B27">
        <w:rPr>
          <w:sz w:val="24"/>
          <w:szCs w:val="24"/>
        </w:rPr>
        <w:t xml:space="preserve">Clearly, our members were not </w:t>
      </w:r>
      <w:r w:rsidR="00077B27" w:rsidRPr="00077B27">
        <w:rPr>
          <w:sz w:val="24"/>
          <w:szCs w:val="24"/>
        </w:rPr>
        <w:t xml:space="preserve">an intended target of the </w:t>
      </w:r>
      <w:r w:rsidR="009A4B6F">
        <w:rPr>
          <w:sz w:val="24"/>
          <w:szCs w:val="24"/>
        </w:rPr>
        <w:t xml:space="preserve">changes to the SFT </w:t>
      </w:r>
      <w:r w:rsidR="00391342">
        <w:rPr>
          <w:sz w:val="24"/>
          <w:szCs w:val="24"/>
        </w:rPr>
        <w:t>implemented in January 2014</w:t>
      </w:r>
      <w:r w:rsidR="00A92683">
        <w:rPr>
          <w:sz w:val="24"/>
          <w:szCs w:val="24"/>
        </w:rPr>
        <w:t xml:space="preserve">. But </w:t>
      </w:r>
      <w:r w:rsidR="004D3746">
        <w:rPr>
          <w:sz w:val="24"/>
          <w:szCs w:val="24"/>
        </w:rPr>
        <w:t xml:space="preserve">by maintaining </w:t>
      </w:r>
      <w:r w:rsidR="005A3E39" w:rsidRPr="00077B27">
        <w:rPr>
          <w:sz w:val="24"/>
          <w:szCs w:val="24"/>
        </w:rPr>
        <w:t xml:space="preserve">the Threshold </w:t>
      </w:r>
      <w:r w:rsidR="00A92683">
        <w:rPr>
          <w:sz w:val="24"/>
          <w:szCs w:val="24"/>
        </w:rPr>
        <w:t>a</w:t>
      </w:r>
      <w:r w:rsidR="005A3E39" w:rsidRPr="00077B27">
        <w:rPr>
          <w:sz w:val="24"/>
          <w:szCs w:val="24"/>
        </w:rPr>
        <w:t>t a fixed monetary figure, as has been the case since January 2014, th</w:t>
      </w:r>
      <w:r w:rsidR="009855B4">
        <w:rPr>
          <w:sz w:val="24"/>
          <w:szCs w:val="24"/>
        </w:rPr>
        <w:t>is unintended consequence has materialised.</w:t>
      </w:r>
      <w:r w:rsidR="00B26AFA">
        <w:rPr>
          <w:sz w:val="24"/>
          <w:szCs w:val="24"/>
        </w:rPr>
        <w:t xml:space="preserve"> </w:t>
      </w:r>
      <w:r w:rsidR="00307410">
        <w:rPr>
          <w:sz w:val="24"/>
          <w:szCs w:val="24"/>
        </w:rPr>
        <w:t xml:space="preserve">And </w:t>
      </w:r>
      <w:r w:rsidR="00FB7E1D">
        <w:rPr>
          <w:sz w:val="24"/>
          <w:szCs w:val="24"/>
        </w:rPr>
        <w:t xml:space="preserve">this is happening for Principal Officers </w:t>
      </w:r>
      <w:r w:rsidR="00FB1D35">
        <w:rPr>
          <w:sz w:val="24"/>
          <w:szCs w:val="24"/>
        </w:rPr>
        <w:t xml:space="preserve">in particular who are at a higher level of pay than </w:t>
      </w:r>
    </w:p>
    <w:p w14:paraId="2A52F11B" w14:textId="77777777" w:rsidR="00C11B8A" w:rsidRDefault="00C11B8A" w:rsidP="002427EB">
      <w:pPr>
        <w:spacing w:after="600"/>
        <w:jc w:val="both"/>
        <w:rPr>
          <w:sz w:val="24"/>
          <w:szCs w:val="24"/>
        </w:rPr>
      </w:pPr>
    </w:p>
    <w:p w14:paraId="1E99C321" w14:textId="2D36CC93" w:rsidR="00351583" w:rsidRPr="00077B27" w:rsidRDefault="00FB1D35" w:rsidP="002427EB">
      <w:pPr>
        <w:spacing w:after="600"/>
        <w:jc w:val="both"/>
        <w:rPr>
          <w:sz w:val="24"/>
          <w:szCs w:val="24"/>
        </w:rPr>
      </w:pPr>
      <w:r>
        <w:rPr>
          <w:sz w:val="24"/>
          <w:szCs w:val="24"/>
        </w:rPr>
        <w:t xml:space="preserve">Assistant Principals </w:t>
      </w:r>
      <w:r w:rsidR="00FB7E1D">
        <w:rPr>
          <w:sz w:val="24"/>
          <w:szCs w:val="24"/>
        </w:rPr>
        <w:t xml:space="preserve">and </w:t>
      </w:r>
      <w:r w:rsidR="004F504C">
        <w:rPr>
          <w:sz w:val="24"/>
          <w:szCs w:val="24"/>
        </w:rPr>
        <w:t xml:space="preserve">these are individuals </w:t>
      </w:r>
      <w:r w:rsidR="005E568C">
        <w:rPr>
          <w:sz w:val="24"/>
          <w:szCs w:val="24"/>
        </w:rPr>
        <w:t>who it could not be said have benefited from excessive pension tax re</w:t>
      </w:r>
      <w:r w:rsidR="0073772C">
        <w:rPr>
          <w:sz w:val="24"/>
          <w:szCs w:val="24"/>
        </w:rPr>
        <w:t>l</w:t>
      </w:r>
      <w:r w:rsidR="005E568C">
        <w:rPr>
          <w:sz w:val="24"/>
          <w:szCs w:val="24"/>
        </w:rPr>
        <w:t xml:space="preserve">ief. </w:t>
      </w:r>
    </w:p>
    <w:p w14:paraId="24FF0517" w14:textId="665BC5BF" w:rsidR="0037467E" w:rsidRPr="0046751D" w:rsidRDefault="003626E4" w:rsidP="002427EB">
      <w:pPr>
        <w:spacing w:after="240"/>
        <w:jc w:val="both"/>
        <w:rPr>
          <w:b/>
          <w:bCs/>
          <w:color w:val="0070C0"/>
          <w:sz w:val="28"/>
          <w:szCs w:val="28"/>
          <w:bdr w:val="single" w:sz="4" w:space="0" w:color="auto"/>
        </w:rPr>
      </w:pPr>
      <w:r w:rsidRPr="0046751D">
        <w:rPr>
          <w:b/>
          <w:bCs/>
          <w:color w:val="0070C0"/>
          <w:sz w:val="28"/>
          <w:szCs w:val="28"/>
          <w:highlight w:val="lightGray"/>
          <w:bdr w:val="single" w:sz="4" w:space="0" w:color="auto"/>
        </w:rPr>
        <w:t>S</w:t>
      </w:r>
      <w:r w:rsidR="002462CB">
        <w:rPr>
          <w:b/>
          <w:bCs/>
          <w:color w:val="0070C0"/>
          <w:sz w:val="28"/>
          <w:szCs w:val="28"/>
          <w:highlight w:val="lightGray"/>
          <w:bdr w:val="single" w:sz="4" w:space="0" w:color="auto"/>
        </w:rPr>
        <w:t xml:space="preserve">ingle </w:t>
      </w:r>
      <w:r w:rsidR="00B2502E" w:rsidRPr="0046751D">
        <w:rPr>
          <w:b/>
          <w:bCs/>
          <w:color w:val="0070C0"/>
          <w:sz w:val="28"/>
          <w:szCs w:val="28"/>
          <w:highlight w:val="lightGray"/>
          <w:bdr w:val="single" w:sz="4" w:space="0" w:color="auto"/>
        </w:rPr>
        <w:t>F</w:t>
      </w:r>
      <w:r w:rsidR="002462CB">
        <w:rPr>
          <w:b/>
          <w:bCs/>
          <w:color w:val="0070C0"/>
          <w:sz w:val="28"/>
          <w:szCs w:val="28"/>
          <w:highlight w:val="lightGray"/>
          <w:bdr w:val="single" w:sz="4" w:space="0" w:color="auto"/>
        </w:rPr>
        <w:t>und T</w:t>
      </w:r>
      <w:r w:rsidR="003A0DE4" w:rsidRPr="0046751D">
        <w:rPr>
          <w:b/>
          <w:bCs/>
          <w:color w:val="0070C0"/>
          <w:sz w:val="28"/>
          <w:szCs w:val="28"/>
          <w:highlight w:val="lightGray"/>
          <w:bdr w:val="single" w:sz="4" w:space="0" w:color="auto"/>
        </w:rPr>
        <w:t>hreshol</w:t>
      </w:r>
      <w:r w:rsidR="00734389" w:rsidRPr="0046751D">
        <w:rPr>
          <w:b/>
          <w:bCs/>
          <w:color w:val="0070C0"/>
          <w:sz w:val="28"/>
          <w:szCs w:val="28"/>
          <w:highlight w:val="lightGray"/>
          <w:bdr w:val="single" w:sz="4" w:space="0" w:color="auto"/>
        </w:rPr>
        <w:t>d Reduction</w:t>
      </w:r>
      <w:r w:rsidR="00015D57" w:rsidRPr="0046751D">
        <w:rPr>
          <w:b/>
          <w:bCs/>
          <w:color w:val="0070C0"/>
          <w:sz w:val="28"/>
          <w:szCs w:val="28"/>
          <w:bdr w:val="single" w:sz="4" w:space="0" w:color="auto"/>
        </w:rPr>
        <w:t xml:space="preserve"> </w:t>
      </w:r>
    </w:p>
    <w:p w14:paraId="07E5AEB5" w14:textId="77777777" w:rsidR="00803F1E" w:rsidRPr="00015D57" w:rsidRDefault="00803F1E" w:rsidP="00992A00">
      <w:pPr>
        <w:spacing w:after="0"/>
        <w:jc w:val="both"/>
        <w:rPr>
          <w:b/>
          <w:bCs/>
          <w:sz w:val="28"/>
          <w:szCs w:val="28"/>
          <w:bdr w:val="single" w:sz="4" w:space="0" w:color="auto"/>
        </w:rPr>
      </w:pPr>
    </w:p>
    <w:p w14:paraId="5E6A5D79" w14:textId="184005B1" w:rsidR="00CC3C8B" w:rsidRDefault="00534C4B" w:rsidP="003C544D">
      <w:pPr>
        <w:pBdr>
          <w:top w:val="single" w:sz="4" w:space="1" w:color="auto"/>
          <w:left w:val="single" w:sz="4" w:space="4" w:color="auto"/>
          <w:bottom w:val="single" w:sz="4" w:space="1" w:color="auto"/>
          <w:right w:val="single" w:sz="4" w:space="4" w:color="auto"/>
        </w:pBdr>
        <w:shd w:val="clear" w:color="auto" w:fill="D5D5D5" w:themeFill="accent3" w:themeFillTint="66"/>
        <w:spacing w:line="240" w:lineRule="auto"/>
        <w:rPr>
          <w:b/>
          <w:bCs/>
          <w:color w:val="0070C0"/>
          <w:sz w:val="24"/>
          <w:szCs w:val="24"/>
        </w:rPr>
      </w:pPr>
      <w:r>
        <w:rPr>
          <w:b/>
          <w:bCs/>
          <w:color w:val="0070C0"/>
          <w:sz w:val="24"/>
          <w:szCs w:val="24"/>
        </w:rPr>
        <w:tab/>
      </w:r>
      <w:r w:rsidR="00616C56">
        <w:rPr>
          <w:b/>
          <w:bCs/>
          <w:color w:val="0070C0"/>
          <w:sz w:val="24"/>
          <w:szCs w:val="24"/>
        </w:rPr>
        <w:t>7</w:t>
      </w:r>
      <w:r w:rsidR="00616C56" w:rsidRPr="00616C56">
        <w:rPr>
          <w:b/>
          <w:bCs/>
          <w:color w:val="0070C0"/>
          <w:sz w:val="24"/>
          <w:szCs w:val="24"/>
          <w:vertAlign w:val="superscript"/>
        </w:rPr>
        <w:t>th</w:t>
      </w:r>
      <w:r w:rsidR="00616C56">
        <w:rPr>
          <w:b/>
          <w:bCs/>
          <w:color w:val="0070C0"/>
          <w:sz w:val="24"/>
          <w:szCs w:val="24"/>
        </w:rPr>
        <w:t xml:space="preserve"> December 2005 </w:t>
      </w:r>
      <w:r w:rsidR="00D631F9">
        <w:rPr>
          <w:b/>
          <w:bCs/>
          <w:color w:val="0070C0"/>
          <w:sz w:val="24"/>
          <w:szCs w:val="24"/>
        </w:rPr>
        <w:tab/>
      </w:r>
      <w:r>
        <w:rPr>
          <w:b/>
          <w:bCs/>
          <w:color w:val="0070C0"/>
          <w:sz w:val="24"/>
          <w:szCs w:val="24"/>
        </w:rPr>
        <w:tab/>
      </w:r>
      <w:r w:rsidR="00616C56">
        <w:rPr>
          <w:b/>
          <w:bCs/>
          <w:color w:val="0070C0"/>
          <w:sz w:val="24"/>
          <w:szCs w:val="24"/>
        </w:rPr>
        <w:t>€5,000,000</w:t>
      </w:r>
    </w:p>
    <w:p w14:paraId="537CC4DC" w14:textId="1B940FE7" w:rsidR="00784B6E" w:rsidRDefault="00534C4B" w:rsidP="003C544D">
      <w:pPr>
        <w:pBdr>
          <w:top w:val="single" w:sz="4" w:space="1" w:color="auto"/>
          <w:left w:val="single" w:sz="4" w:space="4" w:color="auto"/>
          <w:bottom w:val="single" w:sz="4" w:space="1" w:color="auto"/>
          <w:right w:val="single" w:sz="4" w:space="4" w:color="auto"/>
        </w:pBdr>
        <w:shd w:val="clear" w:color="auto" w:fill="D5D5D5" w:themeFill="accent3" w:themeFillTint="66"/>
        <w:spacing w:line="240" w:lineRule="auto"/>
        <w:rPr>
          <w:b/>
          <w:bCs/>
          <w:color w:val="0070C0"/>
          <w:sz w:val="24"/>
          <w:szCs w:val="24"/>
        </w:rPr>
      </w:pPr>
      <w:r>
        <w:rPr>
          <w:b/>
          <w:bCs/>
          <w:color w:val="0070C0"/>
          <w:sz w:val="24"/>
          <w:szCs w:val="24"/>
        </w:rPr>
        <w:tab/>
      </w:r>
      <w:r w:rsidR="009F122F">
        <w:rPr>
          <w:b/>
          <w:bCs/>
          <w:color w:val="0070C0"/>
          <w:sz w:val="24"/>
          <w:szCs w:val="24"/>
        </w:rPr>
        <w:t>1</w:t>
      </w:r>
      <w:r w:rsidR="009F122F" w:rsidRPr="009F122F">
        <w:rPr>
          <w:b/>
          <w:bCs/>
          <w:color w:val="0070C0"/>
          <w:sz w:val="24"/>
          <w:szCs w:val="24"/>
          <w:vertAlign w:val="superscript"/>
        </w:rPr>
        <w:t>st</w:t>
      </w:r>
      <w:r w:rsidR="009F122F">
        <w:rPr>
          <w:b/>
          <w:bCs/>
          <w:color w:val="0070C0"/>
          <w:sz w:val="24"/>
          <w:szCs w:val="24"/>
        </w:rPr>
        <w:t xml:space="preserve"> January 2007</w:t>
      </w:r>
      <w:r w:rsidR="00D631F9">
        <w:rPr>
          <w:b/>
          <w:bCs/>
          <w:color w:val="0070C0"/>
          <w:sz w:val="24"/>
          <w:szCs w:val="24"/>
        </w:rPr>
        <w:tab/>
      </w:r>
      <w:r>
        <w:rPr>
          <w:b/>
          <w:bCs/>
          <w:color w:val="0070C0"/>
          <w:sz w:val="24"/>
          <w:szCs w:val="24"/>
        </w:rPr>
        <w:tab/>
      </w:r>
      <w:r w:rsidR="009F122F">
        <w:rPr>
          <w:b/>
          <w:bCs/>
          <w:color w:val="0070C0"/>
          <w:sz w:val="24"/>
          <w:szCs w:val="24"/>
        </w:rPr>
        <w:t>€5,</w:t>
      </w:r>
      <w:r w:rsidR="006E054A">
        <w:rPr>
          <w:b/>
          <w:bCs/>
          <w:color w:val="0070C0"/>
          <w:sz w:val="24"/>
          <w:szCs w:val="24"/>
        </w:rPr>
        <w:t>165,000</w:t>
      </w:r>
    </w:p>
    <w:p w14:paraId="0C3C7C04" w14:textId="1AD66FF4" w:rsidR="006E054A" w:rsidRDefault="006E054A" w:rsidP="003C544D">
      <w:pPr>
        <w:pBdr>
          <w:top w:val="single" w:sz="4" w:space="1" w:color="auto"/>
          <w:left w:val="single" w:sz="4" w:space="4" w:color="auto"/>
          <w:bottom w:val="single" w:sz="4" w:space="1" w:color="auto"/>
          <w:right w:val="single" w:sz="4" w:space="4" w:color="auto"/>
        </w:pBdr>
        <w:shd w:val="clear" w:color="auto" w:fill="D5D5D5" w:themeFill="accent3" w:themeFillTint="66"/>
        <w:spacing w:line="240" w:lineRule="auto"/>
        <w:jc w:val="both"/>
        <w:rPr>
          <w:b/>
          <w:bCs/>
          <w:color w:val="0070C0"/>
          <w:sz w:val="24"/>
          <w:szCs w:val="24"/>
        </w:rPr>
      </w:pPr>
      <w:r>
        <w:rPr>
          <w:b/>
          <w:bCs/>
          <w:color w:val="0070C0"/>
          <w:sz w:val="24"/>
          <w:szCs w:val="24"/>
        </w:rPr>
        <w:t xml:space="preserve"> </w:t>
      </w:r>
      <w:r w:rsidR="00534C4B">
        <w:rPr>
          <w:b/>
          <w:bCs/>
          <w:color w:val="0070C0"/>
          <w:sz w:val="24"/>
          <w:szCs w:val="24"/>
        </w:rPr>
        <w:tab/>
      </w:r>
      <w:r w:rsidR="009F5763">
        <w:rPr>
          <w:b/>
          <w:bCs/>
          <w:color w:val="0070C0"/>
          <w:sz w:val="24"/>
          <w:szCs w:val="24"/>
        </w:rPr>
        <w:t>1</w:t>
      </w:r>
      <w:r w:rsidR="009F5763" w:rsidRPr="009F5763">
        <w:rPr>
          <w:b/>
          <w:bCs/>
          <w:color w:val="0070C0"/>
          <w:sz w:val="24"/>
          <w:szCs w:val="24"/>
          <w:vertAlign w:val="superscript"/>
        </w:rPr>
        <w:t>st</w:t>
      </w:r>
      <w:r w:rsidR="009F5763">
        <w:rPr>
          <w:b/>
          <w:bCs/>
          <w:color w:val="0070C0"/>
          <w:sz w:val="24"/>
          <w:szCs w:val="24"/>
        </w:rPr>
        <w:t xml:space="preserve"> December 20</w:t>
      </w:r>
      <w:r w:rsidR="009B0C6F">
        <w:rPr>
          <w:b/>
          <w:bCs/>
          <w:color w:val="0070C0"/>
          <w:sz w:val="24"/>
          <w:szCs w:val="24"/>
        </w:rPr>
        <w:t>0</w:t>
      </w:r>
      <w:r w:rsidR="009F5763">
        <w:rPr>
          <w:b/>
          <w:bCs/>
          <w:color w:val="0070C0"/>
          <w:sz w:val="24"/>
          <w:szCs w:val="24"/>
        </w:rPr>
        <w:t>8</w:t>
      </w:r>
      <w:r w:rsidR="00D631F9">
        <w:rPr>
          <w:b/>
          <w:bCs/>
          <w:color w:val="0070C0"/>
          <w:sz w:val="24"/>
          <w:szCs w:val="24"/>
        </w:rPr>
        <w:tab/>
      </w:r>
      <w:r w:rsidR="00534C4B">
        <w:rPr>
          <w:b/>
          <w:bCs/>
          <w:color w:val="0070C0"/>
          <w:sz w:val="24"/>
          <w:szCs w:val="24"/>
        </w:rPr>
        <w:tab/>
      </w:r>
      <w:r w:rsidR="009F5763">
        <w:rPr>
          <w:b/>
          <w:bCs/>
          <w:color w:val="0070C0"/>
          <w:sz w:val="24"/>
          <w:szCs w:val="24"/>
        </w:rPr>
        <w:t>€5,</w:t>
      </w:r>
      <w:r w:rsidR="00CF2643">
        <w:rPr>
          <w:b/>
          <w:bCs/>
          <w:color w:val="0070C0"/>
          <w:sz w:val="24"/>
          <w:szCs w:val="24"/>
        </w:rPr>
        <w:t>418,045</w:t>
      </w:r>
    </w:p>
    <w:p w14:paraId="3762219E" w14:textId="724B35EF" w:rsidR="00CF2643" w:rsidRDefault="009B0C6F" w:rsidP="003C544D">
      <w:pPr>
        <w:pBdr>
          <w:top w:val="single" w:sz="4" w:space="1" w:color="auto"/>
          <w:left w:val="single" w:sz="4" w:space="4" w:color="auto"/>
          <w:bottom w:val="single" w:sz="4" w:space="1" w:color="auto"/>
          <w:right w:val="single" w:sz="4" w:space="4" w:color="auto"/>
        </w:pBdr>
        <w:shd w:val="clear" w:color="auto" w:fill="D5D5D5" w:themeFill="accent3" w:themeFillTint="66"/>
        <w:spacing w:line="240" w:lineRule="auto"/>
        <w:jc w:val="both"/>
        <w:rPr>
          <w:b/>
          <w:bCs/>
          <w:color w:val="0070C0"/>
          <w:sz w:val="24"/>
          <w:szCs w:val="24"/>
        </w:rPr>
      </w:pPr>
      <w:r>
        <w:rPr>
          <w:b/>
          <w:bCs/>
          <w:color w:val="0070C0"/>
          <w:sz w:val="24"/>
          <w:szCs w:val="24"/>
        </w:rPr>
        <w:t xml:space="preserve"> </w:t>
      </w:r>
      <w:r w:rsidR="00534C4B">
        <w:rPr>
          <w:b/>
          <w:bCs/>
          <w:color w:val="0070C0"/>
          <w:sz w:val="24"/>
          <w:szCs w:val="24"/>
        </w:rPr>
        <w:tab/>
      </w:r>
      <w:r>
        <w:rPr>
          <w:b/>
          <w:bCs/>
          <w:color w:val="0070C0"/>
          <w:sz w:val="24"/>
          <w:szCs w:val="24"/>
        </w:rPr>
        <w:t>7</w:t>
      </w:r>
      <w:r w:rsidRPr="009B0C6F">
        <w:rPr>
          <w:b/>
          <w:bCs/>
          <w:color w:val="0070C0"/>
          <w:sz w:val="24"/>
          <w:szCs w:val="24"/>
          <w:vertAlign w:val="superscript"/>
        </w:rPr>
        <w:t>th</w:t>
      </w:r>
      <w:r>
        <w:rPr>
          <w:b/>
          <w:bCs/>
          <w:color w:val="0070C0"/>
          <w:sz w:val="24"/>
          <w:szCs w:val="24"/>
        </w:rPr>
        <w:t xml:space="preserve"> December </w:t>
      </w:r>
      <w:r w:rsidR="00636C87">
        <w:rPr>
          <w:b/>
          <w:bCs/>
          <w:color w:val="0070C0"/>
          <w:sz w:val="24"/>
          <w:szCs w:val="24"/>
        </w:rPr>
        <w:t>2010</w:t>
      </w:r>
      <w:r w:rsidR="00D631F9">
        <w:rPr>
          <w:b/>
          <w:bCs/>
          <w:color w:val="0070C0"/>
          <w:sz w:val="24"/>
          <w:szCs w:val="24"/>
        </w:rPr>
        <w:tab/>
      </w:r>
      <w:r w:rsidR="00534C4B">
        <w:rPr>
          <w:b/>
          <w:bCs/>
          <w:color w:val="0070C0"/>
          <w:sz w:val="24"/>
          <w:szCs w:val="24"/>
        </w:rPr>
        <w:tab/>
      </w:r>
      <w:r w:rsidR="00636C87">
        <w:rPr>
          <w:b/>
          <w:bCs/>
          <w:color w:val="0070C0"/>
          <w:sz w:val="24"/>
          <w:szCs w:val="24"/>
        </w:rPr>
        <w:t>€2,300,000</w:t>
      </w:r>
    </w:p>
    <w:p w14:paraId="7A4E8768" w14:textId="2A90645B" w:rsidR="00D04C24" w:rsidRDefault="00D04C24" w:rsidP="003C544D">
      <w:pPr>
        <w:pBdr>
          <w:top w:val="single" w:sz="4" w:space="1" w:color="auto"/>
          <w:left w:val="single" w:sz="4" w:space="4" w:color="auto"/>
          <w:bottom w:val="single" w:sz="4" w:space="1" w:color="auto"/>
          <w:right w:val="single" w:sz="4" w:space="4" w:color="auto"/>
        </w:pBdr>
        <w:shd w:val="clear" w:color="auto" w:fill="D5D5D5" w:themeFill="accent3" w:themeFillTint="66"/>
        <w:spacing w:line="240" w:lineRule="auto"/>
        <w:jc w:val="both"/>
        <w:rPr>
          <w:b/>
          <w:bCs/>
          <w:color w:val="0070C0"/>
          <w:sz w:val="24"/>
          <w:szCs w:val="24"/>
        </w:rPr>
      </w:pPr>
      <w:r>
        <w:rPr>
          <w:b/>
          <w:bCs/>
          <w:color w:val="0070C0"/>
          <w:sz w:val="24"/>
          <w:szCs w:val="24"/>
        </w:rPr>
        <w:t xml:space="preserve"> </w:t>
      </w:r>
      <w:r w:rsidR="00534C4B">
        <w:rPr>
          <w:b/>
          <w:bCs/>
          <w:color w:val="0070C0"/>
          <w:sz w:val="24"/>
          <w:szCs w:val="24"/>
        </w:rPr>
        <w:tab/>
      </w:r>
      <w:r>
        <w:rPr>
          <w:b/>
          <w:bCs/>
          <w:color w:val="0070C0"/>
          <w:sz w:val="24"/>
          <w:szCs w:val="24"/>
        </w:rPr>
        <w:t>1</w:t>
      </w:r>
      <w:r w:rsidRPr="00D04C24">
        <w:rPr>
          <w:b/>
          <w:bCs/>
          <w:color w:val="0070C0"/>
          <w:sz w:val="24"/>
          <w:szCs w:val="24"/>
          <w:vertAlign w:val="superscript"/>
        </w:rPr>
        <w:t>st</w:t>
      </w:r>
      <w:r>
        <w:rPr>
          <w:b/>
          <w:bCs/>
          <w:color w:val="0070C0"/>
          <w:sz w:val="24"/>
          <w:szCs w:val="24"/>
        </w:rPr>
        <w:t xml:space="preserve"> January 2014</w:t>
      </w:r>
      <w:r w:rsidR="00D631F9">
        <w:rPr>
          <w:b/>
          <w:bCs/>
          <w:color w:val="0070C0"/>
          <w:sz w:val="24"/>
          <w:szCs w:val="24"/>
        </w:rPr>
        <w:tab/>
      </w:r>
      <w:r w:rsidR="00534C4B">
        <w:rPr>
          <w:b/>
          <w:bCs/>
          <w:color w:val="0070C0"/>
          <w:sz w:val="24"/>
          <w:szCs w:val="24"/>
        </w:rPr>
        <w:tab/>
      </w:r>
      <w:r>
        <w:rPr>
          <w:b/>
          <w:bCs/>
          <w:color w:val="0070C0"/>
          <w:sz w:val="24"/>
          <w:szCs w:val="24"/>
        </w:rPr>
        <w:t>€2,000,000</w:t>
      </w:r>
    </w:p>
    <w:p w14:paraId="106089A0" w14:textId="77777777" w:rsidR="00803F1E" w:rsidRDefault="00803F1E" w:rsidP="00992A00">
      <w:pPr>
        <w:spacing w:after="0" w:line="240" w:lineRule="auto"/>
        <w:jc w:val="both"/>
        <w:rPr>
          <w:sz w:val="24"/>
          <w:szCs w:val="24"/>
        </w:rPr>
      </w:pPr>
    </w:p>
    <w:p w14:paraId="16DF41C7" w14:textId="628C6749" w:rsidR="007539B1" w:rsidRDefault="005633DD" w:rsidP="00B005DB">
      <w:pPr>
        <w:spacing w:line="240" w:lineRule="auto"/>
        <w:jc w:val="both"/>
        <w:rPr>
          <w:sz w:val="24"/>
          <w:szCs w:val="24"/>
        </w:rPr>
      </w:pPr>
      <w:r>
        <w:rPr>
          <w:sz w:val="24"/>
          <w:szCs w:val="24"/>
        </w:rPr>
        <w:t>2.</w:t>
      </w:r>
      <w:r w:rsidR="008E2D9D">
        <w:rPr>
          <w:sz w:val="24"/>
          <w:szCs w:val="24"/>
        </w:rPr>
        <w:t>0</w:t>
      </w:r>
      <w:r w:rsidR="00366F4B">
        <w:rPr>
          <w:sz w:val="24"/>
          <w:szCs w:val="24"/>
        </w:rPr>
        <w:tab/>
      </w:r>
      <w:r w:rsidR="0007762E" w:rsidRPr="0007762E">
        <w:rPr>
          <w:sz w:val="24"/>
          <w:szCs w:val="24"/>
        </w:rPr>
        <w:t xml:space="preserve">Chapter 2C1 of Part 30 of, and Schedule 23B to, the Taxes Consolidation Act 1997 (TCA) deal with the limits on tax-relieved pension funds. These provisions set a limit on the total capital value of pension benefits that an individual can draw in their lifetime from tax relieved pension products where those benefits are taken, or come into payment, for the first time on or after 7 December 2005. </w:t>
      </w:r>
    </w:p>
    <w:p w14:paraId="6D795C63" w14:textId="6841B080" w:rsidR="00062FCE" w:rsidRDefault="007539B1" w:rsidP="00081A3C">
      <w:pPr>
        <w:spacing w:line="240" w:lineRule="auto"/>
        <w:jc w:val="both"/>
        <w:rPr>
          <w:i/>
          <w:iCs/>
          <w:sz w:val="24"/>
          <w:szCs w:val="24"/>
        </w:rPr>
      </w:pPr>
      <w:r>
        <w:rPr>
          <w:sz w:val="24"/>
          <w:szCs w:val="24"/>
        </w:rPr>
        <w:t>2.1</w:t>
      </w:r>
      <w:r w:rsidR="00366F4B">
        <w:rPr>
          <w:sz w:val="24"/>
          <w:szCs w:val="24"/>
        </w:rPr>
        <w:tab/>
      </w:r>
      <w:r w:rsidR="0007762E" w:rsidRPr="0007762E">
        <w:rPr>
          <w:sz w:val="24"/>
          <w:szCs w:val="24"/>
        </w:rPr>
        <w:t>This limit is called the standard fund threshold (SFT) and is currently €2m</w:t>
      </w:r>
      <w:r w:rsidR="00081A3C">
        <w:rPr>
          <w:sz w:val="24"/>
          <w:szCs w:val="24"/>
        </w:rPr>
        <w:t xml:space="preserve">. </w:t>
      </w:r>
    </w:p>
    <w:p w14:paraId="24D3090D" w14:textId="64EB0B2F" w:rsidR="002E7370" w:rsidRDefault="005633DD" w:rsidP="00062FCE">
      <w:pPr>
        <w:jc w:val="both"/>
        <w:rPr>
          <w:sz w:val="24"/>
          <w:szCs w:val="24"/>
        </w:rPr>
      </w:pPr>
      <w:r>
        <w:rPr>
          <w:sz w:val="24"/>
          <w:szCs w:val="24"/>
        </w:rPr>
        <w:t>2.2</w:t>
      </w:r>
      <w:r w:rsidR="00366F4B">
        <w:rPr>
          <w:sz w:val="24"/>
          <w:szCs w:val="24"/>
        </w:rPr>
        <w:tab/>
      </w:r>
      <w:r w:rsidR="005E1424" w:rsidRPr="005E1424">
        <w:rPr>
          <w:sz w:val="24"/>
          <w:szCs w:val="24"/>
        </w:rPr>
        <w:t xml:space="preserve">The concept of a Standard Fund Threshold creates a way of “valuing” a </w:t>
      </w:r>
      <w:r w:rsidR="0089151D">
        <w:rPr>
          <w:sz w:val="24"/>
          <w:szCs w:val="24"/>
        </w:rPr>
        <w:t>d</w:t>
      </w:r>
      <w:r w:rsidR="005E1424" w:rsidRPr="005E1424">
        <w:rPr>
          <w:sz w:val="24"/>
          <w:szCs w:val="24"/>
        </w:rPr>
        <w:t xml:space="preserve">efined </w:t>
      </w:r>
      <w:r w:rsidR="0089151D">
        <w:rPr>
          <w:sz w:val="24"/>
          <w:szCs w:val="24"/>
        </w:rPr>
        <w:t>b</w:t>
      </w:r>
      <w:r w:rsidR="005E1424" w:rsidRPr="005E1424">
        <w:rPr>
          <w:sz w:val="24"/>
          <w:szCs w:val="24"/>
        </w:rPr>
        <w:t xml:space="preserve">enefit pension and comparing it to a </w:t>
      </w:r>
      <w:r w:rsidR="00404091">
        <w:rPr>
          <w:sz w:val="24"/>
          <w:szCs w:val="24"/>
        </w:rPr>
        <w:t>p</w:t>
      </w:r>
      <w:r w:rsidR="005E1424" w:rsidRPr="005E1424">
        <w:rPr>
          <w:sz w:val="24"/>
          <w:szCs w:val="24"/>
        </w:rPr>
        <w:t>ension fund</w:t>
      </w:r>
      <w:r w:rsidR="00802950">
        <w:rPr>
          <w:sz w:val="24"/>
          <w:szCs w:val="24"/>
        </w:rPr>
        <w:t>.</w:t>
      </w:r>
    </w:p>
    <w:p w14:paraId="0C832853" w14:textId="70F5DFB3" w:rsidR="00730192" w:rsidRDefault="00730192" w:rsidP="00062FCE">
      <w:pPr>
        <w:jc w:val="both"/>
        <w:rPr>
          <w:sz w:val="24"/>
          <w:szCs w:val="24"/>
        </w:rPr>
      </w:pPr>
      <w:r>
        <w:rPr>
          <w:sz w:val="24"/>
          <w:szCs w:val="24"/>
        </w:rPr>
        <w:t>2.3</w:t>
      </w:r>
      <w:r>
        <w:rPr>
          <w:sz w:val="24"/>
          <w:szCs w:val="24"/>
        </w:rPr>
        <w:tab/>
      </w:r>
      <w:r w:rsidR="00A13E66" w:rsidRPr="00A13E66">
        <w:rPr>
          <w:sz w:val="24"/>
          <w:szCs w:val="24"/>
        </w:rPr>
        <w:t>The current €2,000,000 SFT is believed to be indirectly linked to a notional maximum DB pension of €60,000 at age 60, plus a €200,000 lump sum, i.e. 30 x €60,000 + €200,000 = €2,000,000.</w:t>
      </w:r>
    </w:p>
    <w:p w14:paraId="66B08950" w14:textId="0BBAB263" w:rsidR="004D18D7" w:rsidRPr="00A13E66" w:rsidRDefault="00663837" w:rsidP="00062FCE">
      <w:pPr>
        <w:jc w:val="both"/>
        <w:rPr>
          <w:sz w:val="24"/>
          <w:szCs w:val="24"/>
        </w:rPr>
      </w:pPr>
      <w:r>
        <w:rPr>
          <w:sz w:val="24"/>
          <w:szCs w:val="24"/>
        </w:rPr>
        <w:t>2.4</w:t>
      </w:r>
      <w:r>
        <w:rPr>
          <w:sz w:val="24"/>
          <w:szCs w:val="24"/>
        </w:rPr>
        <w:tab/>
      </w:r>
      <w:r w:rsidR="00A30D7A">
        <w:rPr>
          <w:sz w:val="24"/>
          <w:szCs w:val="24"/>
        </w:rPr>
        <w:t xml:space="preserve">€200,000 being the maximum </w:t>
      </w:r>
      <w:r w:rsidR="000F315B">
        <w:rPr>
          <w:sz w:val="24"/>
          <w:szCs w:val="24"/>
        </w:rPr>
        <w:t xml:space="preserve">gratuity paid </w:t>
      </w:r>
      <w:r w:rsidR="00EA1E46">
        <w:rPr>
          <w:sz w:val="24"/>
          <w:szCs w:val="24"/>
        </w:rPr>
        <w:t>tax free therefore a public servant’s lump sum is intrin</w:t>
      </w:r>
      <w:r w:rsidR="00E46C94">
        <w:rPr>
          <w:sz w:val="24"/>
          <w:szCs w:val="24"/>
        </w:rPr>
        <w:t>sically linked to</w:t>
      </w:r>
      <w:r w:rsidR="00EE57BD">
        <w:rPr>
          <w:sz w:val="24"/>
          <w:szCs w:val="24"/>
        </w:rPr>
        <w:t xml:space="preserve"> linked to the SFT.</w:t>
      </w:r>
      <w:r>
        <w:rPr>
          <w:sz w:val="24"/>
          <w:szCs w:val="24"/>
        </w:rPr>
        <w:t xml:space="preserve"> </w:t>
      </w:r>
    </w:p>
    <w:p w14:paraId="614FCC92" w14:textId="64A26D10" w:rsidR="00126336" w:rsidRPr="0022269C" w:rsidRDefault="00B3422C" w:rsidP="00062FCE">
      <w:pPr>
        <w:jc w:val="both"/>
        <w:rPr>
          <w:sz w:val="24"/>
          <w:szCs w:val="24"/>
          <w:u w:val="single"/>
        </w:rPr>
      </w:pPr>
      <w:r>
        <w:rPr>
          <w:sz w:val="24"/>
          <w:szCs w:val="24"/>
        </w:rPr>
        <w:t>2.</w:t>
      </w:r>
      <w:r w:rsidR="00C11B8A">
        <w:rPr>
          <w:sz w:val="24"/>
          <w:szCs w:val="24"/>
        </w:rPr>
        <w:t>5</w:t>
      </w:r>
      <w:r w:rsidR="00366F4B">
        <w:rPr>
          <w:sz w:val="24"/>
          <w:szCs w:val="24"/>
        </w:rPr>
        <w:tab/>
      </w:r>
      <w:r w:rsidRPr="00B3422C">
        <w:rPr>
          <w:sz w:val="24"/>
          <w:szCs w:val="24"/>
        </w:rPr>
        <w:t>The Minister for Finance may amend the SFT in line with an earnings adjustment factor (as provided for in the definition of “standard fund threshold” in section 787O</w:t>
      </w:r>
      <w:r w:rsidR="007F5F80">
        <w:rPr>
          <w:sz w:val="24"/>
          <w:szCs w:val="24"/>
        </w:rPr>
        <w:t xml:space="preserve"> of the TCA</w:t>
      </w:r>
      <w:r w:rsidRPr="00B3422C">
        <w:rPr>
          <w:sz w:val="24"/>
          <w:szCs w:val="24"/>
        </w:rPr>
        <w:t>)</w:t>
      </w:r>
      <w:r w:rsidR="0022269C">
        <w:rPr>
          <w:sz w:val="24"/>
          <w:szCs w:val="24"/>
        </w:rPr>
        <w:t xml:space="preserve"> </w:t>
      </w:r>
      <w:r w:rsidR="0022269C" w:rsidRPr="0022269C">
        <w:rPr>
          <w:sz w:val="24"/>
          <w:szCs w:val="24"/>
          <w:u w:val="single"/>
        </w:rPr>
        <w:t xml:space="preserve">but has failed to do so. </w:t>
      </w:r>
      <w:r w:rsidR="00E856CA" w:rsidRPr="0022269C">
        <w:rPr>
          <w:sz w:val="24"/>
          <w:szCs w:val="24"/>
          <w:u w:val="single"/>
        </w:rPr>
        <w:t xml:space="preserve"> </w:t>
      </w:r>
    </w:p>
    <w:p w14:paraId="6F52C00F" w14:textId="750744F5" w:rsidR="00946DDC" w:rsidRDefault="00126336" w:rsidP="00062FCE">
      <w:pPr>
        <w:jc w:val="both"/>
        <w:rPr>
          <w:sz w:val="24"/>
          <w:szCs w:val="24"/>
        </w:rPr>
      </w:pPr>
      <w:r w:rsidRPr="00126336">
        <w:rPr>
          <w:sz w:val="24"/>
          <w:szCs w:val="24"/>
        </w:rPr>
        <w:t>2.</w:t>
      </w:r>
      <w:r w:rsidR="00C11B8A">
        <w:rPr>
          <w:sz w:val="24"/>
          <w:szCs w:val="24"/>
        </w:rPr>
        <w:t>6</w:t>
      </w:r>
      <w:r w:rsidR="00366F4B">
        <w:rPr>
          <w:sz w:val="24"/>
          <w:szCs w:val="24"/>
        </w:rPr>
        <w:tab/>
      </w:r>
      <w:r w:rsidR="008D2898">
        <w:rPr>
          <w:sz w:val="24"/>
          <w:szCs w:val="24"/>
        </w:rPr>
        <w:t xml:space="preserve">This inaction has brought </w:t>
      </w:r>
      <w:r w:rsidR="007063A5">
        <w:rPr>
          <w:sz w:val="24"/>
          <w:szCs w:val="24"/>
        </w:rPr>
        <w:t xml:space="preserve">the </w:t>
      </w:r>
      <w:r w:rsidR="005A2FF8">
        <w:rPr>
          <w:sz w:val="24"/>
          <w:szCs w:val="24"/>
        </w:rPr>
        <w:t xml:space="preserve">pension fund of </w:t>
      </w:r>
      <w:r w:rsidR="00C376AD">
        <w:rPr>
          <w:sz w:val="24"/>
          <w:szCs w:val="24"/>
        </w:rPr>
        <w:t xml:space="preserve">our members </w:t>
      </w:r>
      <w:r w:rsidR="00851D14">
        <w:rPr>
          <w:sz w:val="24"/>
          <w:szCs w:val="24"/>
        </w:rPr>
        <w:t xml:space="preserve">within </w:t>
      </w:r>
      <w:r w:rsidR="00BC058C">
        <w:rPr>
          <w:sz w:val="24"/>
          <w:szCs w:val="24"/>
        </w:rPr>
        <w:t>scope of the SFT Threshold of €2m</w:t>
      </w:r>
      <w:r w:rsidR="009D1177">
        <w:rPr>
          <w:sz w:val="24"/>
          <w:szCs w:val="24"/>
        </w:rPr>
        <w:t>.</w:t>
      </w:r>
      <w:r w:rsidR="00DA4F57">
        <w:rPr>
          <w:sz w:val="24"/>
          <w:szCs w:val="24"/>
        </w:rPr>
        <w:t xml:space="preserve"> </w:t>
      </w:r>
      <w:r w:rsidR="00AA6546">
        <w:rPr>
          <w:sz w:val="24"/>
          <w:szCs w:val="24"/>
        </w:rPr>
        <w:t xml:space="preserve">Clearly, in 2014 in setting a threshold of €2m </w:t>
      </w:r>
      <w:r w:rsidR="00F121D2">
        <w:rPr>
          <w:sz w:val="24"/>
          <w:szCs w:val="24"/>
        </w:rPr>
        <w:t xml:space="preserve">these </w:t>
      </w:r>
      <w:r w:rsidR="00EE45E3">
        <w:rPr>
          <w:sz w:val="24"/>
          <w:szCs w:val="24"/>
        </w:rPr>
        <w:t>public serv</w:t>
      </w:r>
      <w:r w:rsidR="002075F6">
        <w:rPr>
          <w:sz w:val="24"/>
          <w:szCs w:val="24"/>
        </w:rPr>
        <w:t xml:space="preserve">ice pensions </w:t>
      </w:r>
      <w:r w:rsidR="00205C5D">
        <w:rPr>
          <w:sz w:val="24"/>
          <w:szCs w:val="24"/>
        </w:rPr>
        <w:t>were not an intended target</w:t>
      </w:r>
      <w:r w:rsidR="00F121D2">
        <w:rPr>
          <w:sz w:val="24"/>
          <w:szCs w:val="24"/>
        </w:rPr>
        <w:t xml:space="preserve"> and the threshold now requires revision</w:t>
      </w:r>
      <w:r w:rsidR="00935BDE">
        <w:rPr>
          <w:sz w:val="24"/>
          <w:szCs w:val="24"/>
        </w:rPr>
        <w:t>.</w:t>
      </w:r>
    </w:p>
    <w:p w14:paraId="50F94CAE" w14:textId="568A80C7" w:rsidR="00AF3766" w:rsidRDefault="004E1A88" w:rsidP="00170E85">
      <w:pPr>
        <w:spacing w:after="600"/>
        <w:jc w:val="both"/>
        <w:rPr>
          <w:sz w:val="24"/>
          <w:szCs w:val="24"/>
        </w:rPr>
      </w:pPr>
      <w:r>
        <w:rPr>
          <w:sz w:val="24"/>
          <w:szCs w:val="24"/>
        </w:rPr>
        <w:t>2.</w:t>
      </w:r>
      <w:r w:rsidR="00C11B8A">
        <w:rPr>
          <w:sz w:val="24"/>
          <w:szCs w:val="24"/>
        </w:rPr>
        <w:t>7</w:t>
      </w:r>
      <w:r w:rsidR="00AF3766">
        <w:rPr>
          <w:sz w:val="24"/>
          <w:szCs w:val="24"/>
        </w:rPr>
        <w:tab/>
      </w:r>
      <w:r w:rsidR="00302235">
        <w:rPr>
          <w:sz w:val="24"/>
          <w:szCs w:val="24"/>
        </w:rPr>
        <w:t xml:space="preserve">The </w:t>
      </w:r>
      <w:r w:rsidR="00AF3766" w:rsidRPr="00323CD7">
        <w:rPr>
          <w:sz w:val="24"/>
          <w:szCs w:val="24"/>
        </w:rPr>
        <w:t xml:space="preserve">Commission on Taxation and Social Welfare Report of 2022 recommended “the periodic benchmarking of the Standard Fund Threshold to an appropriate and fair level of estimated retirement income.” </w:t>
      </w:r>
    </w:p>
    <w:p w14:paraId="7D3D8387" w14:textId="77777777" w:rsidR="00AF1A78" w:rsidRDefault="00AF1A78" w:rsidP="002427EB">
      <w:pPr>
        <w:spacing w:after="600"/>
        <w:jc w:val="both"/>
        <w:rPr>
          <w:b/>
          <w:bCs/>
          <w:color w:val="0070C0"/>
          <w:sz w:val="28"/>
          <w:szCs w:val="28"/>
          <w:highlight w:val="lightGray"/>
          <w:bdr w:val="single" w:sz="4" w:space="0" w:color="auto"/>
        </w:rPr>
      </w:pPr>
    </w:p>
    <w:p w14:paraId="1078EB25" w14:textId="4EBE7FE6" w:rsidR="00946DDC" w:rsidRDefault="00946DDC" w:rsidP="002427EB">
      <w:pPr>
        <w:spacing w:after="600"/>
        <w:jc w:val="both"/>
        <w:rPr>
          <w:b/>
          <w:bCs/>
          <w:sz w:val="28"/>
          <w:szCs w:val="28"/>
          <w:bdr w:val="single" w:sz="4" w:space="0" w:color="auto"/>
        </w:rPr>
      </w:pPr>
      <w:r w:rsidRPr="0046751D">
        <w:rPr>
          <w:b/>
          <w:bCs/>
          <w:color w:val="0070C0"/>
          <w:sz w:val="28"/>
          <w:szCs w:val="28"/>
          <w:highlight w:val="lightGray"/>
          <w:bdr w:val="single" w:sz="4" w:space="0" w:color="auto"/>
        </w:rPr>
        <w:t>Recommendations</w:t>
      </w:r>
      <w:r>
        <w:rPr>
          <w:b/>
          <w:bCs/>
          <w:sz w:val="28"/>
          <w:szCs w:val="28"/>
          <w:bdr w:val="single" w:sz="4" w:space="0" w:color="auto"/>
        </w:rPr>
        <w:t xml:space="preserve"> </w:t>
      </w:r>
    </w:p>
    <w:p w14:paraId="294628AB" w14:textId="77777777" w:rsidR="004F3FFD" w:rsidRDefault="004F3FFD" w:rsidP="00F968B3">
      <w:pPr>
        <w:pBdr>
          <w:top w:val="single" w:sz="4" w:space="1" w:color="auto"/>
          <w:left w:val="single" w:sz="4" w:space="4" w:color="auto"/>
          <w:bottom w:val="single" w:sz="4" w:space="1" w:color="auto"/>
          <w:right w:val="single" w:sz="4" w:space="4" w:color="auto"/>
        </w:pBdr>
        <w:shd w:val="clear" w:color="auto" w:fill="D5D5D5" w:themeFill="accent3" w:themeFillTint="66"/>
        <w:jc w:val="both"/>
        <w:rPr>
          <w:b/>
          <w:bCs/>
          <w:sz w:val="24"/>
          <w:szCs w:val="24"/>
        </w:rPr>
      </w:pPr>
    </w:p>
    <w:p w14:paraId="2FB85F80" w14:textId="0AC456E4" w:rsidR="00F968B3" w:rsidRPr="00360106" w:rsidRDefault="00F968B3" w:rsidP="00F968B3">
      <w:pPr>
        <w:pBdr>
          <w:top w:val="single" w:sz="4" w:space="1" w:color="auto"/>
          <w:left w:val="single" w:sz="4" w:space="4" w:color="auto"/>
          <w:bottom w:val="single" w:sz="4" w:space="1" w:color="auto"/>
          <w:right w:val="single" w:sz="4" w:space="4" w:color="auto"/>
        </w:pBdr>
        <w:shd w:val="clear" w:color="auto" w:fill="D5D5D5" w:themeFill="accent3" w:themeFillTint="66"/>
        <w:jc w:val="both"/>
        <w:rPr>
          <w:b/>
          <w:bCs/>
          <w:sz w:val="24"/>
          <w:szCs w:val="24"/>
        </w:rPr>
      </w:pPr>
      <w:r>
        <w:rPr>
          <w:b/>
          <w:bCs/>
          <w:sz w:val="24"/>
          <w:szCs w:val="24"/>
        </w:rPr>
        <w:t>3.0</w:t>
      </w:r>
      <w:r>
        <w:rPr>
          <w:b/>
          <w:bCs/>
          <w:sz w:val="24"/>
          <w:szCs w:val="24"/>
        </w:rPr>
        <w:tab/>
      </w:r>
      <w:r w:rsidRPr="00360106">
        <w:rPr>
          <w:b/>
          <w:bCs/>
          <w:sz w:val="24"/>
          <w:szCs w:val="24"/>
        </w:rPr>
        <w:t>Review the current threshold of €2m to take account of CPI or average pay awards from 2014 to 2024 to take the threshold to an estimated €2.5 to €2.6m.</w:t>
      </w:r>
    </w:p>
    <w:p w14:paraId="4F348126" w14:textId="77777777" w:rsidR="00F968B3" w:rsidRDefault="00F968B3" w:rsidP="00F968B3">
      <w:pPr>
        <w:pBdr>
          <w:top w:val="single" w:sz="4" w:space="1" w:color="auto"/>
          <w:left w:val="single" w:sz="4" w:space="4" w:color="auto"/>
          <w:bottom w:val="single" w:sz="4" w:space="1" w:color="auto"/>
          <w:right w:val="single" w:sz="4" w:space="4" w:color="auto"/>
        </w:pBdr>
        <w:shd w:val="clear" w:color="auto" w:fill="D5D5D5" w:themeFill="accent3" w:themeFillTint="66"/>
        <w:jc w:val="both"/>
        <w:rPr>
          <w:sz w:val="24"/>
          <w:szCs w:val="24"/>
        </w:rPr>
      </w:pPr>
      <w:r>
        <w:rPr>
          <w:sz w:val="24"/>
          <w:szCs w:val="24"/>
        </w:rPr>
        <w:t>3.1</w:t>
      </w:r>
      <w:r>
        <w:rPr>
          <w:sz w:val="24"/>
          <w:szCs w:val="24"/>
        </w:rPr>
        <w:tab/>
        <w:t xml:space="preserve">Failure to do so since 2014 has brought our members into scope meaning the pension entitlements particularly of those in the Pre and Post 1995 Defined Benefit Schemes are now exposed to chargeable excess tax on pensions purely based on their pay level at the time of retirement. </w:t>
      </w:r>
    </w:p>
    <w:p w14:paraId="2C4B6BDE" w14:textId="77777777" w:rsidR="00F968B3" w:rsidRDefault="00F968B3" w:rsidP="00F968B3">
      <w:pPr>
        <w:pBdr>
          <w:top w:val="single" w:sz="4" w:space="1" w:color="auto"/>
          <w:left w:val="single" w:sz="4" w:space="4" w:color="auto"/>
          <w:bottom w:val="single" w:sz="4" w:space="1" w:color="auto"/>
          <w:right w:val="single" w:sz="4" w:space="4" w:color="auto"/>
        </w:pBdr>
        <w:shd w:val="clear" w:color="auto" w:fill="D5D5D5" w:themeFill="accent3" w:themeFillTint="66"/>
        <w:jc w:val="both"/>
        <w:rPr>
          <w:sz w:val="24"/>
          <w:szCs w:val="24"/>
        </w:rPr>
      </w:pPr>
      <w:r>
        <w:rPr>
          <w:sz w:val="24"/>
          <w:szCs w:val="24"/>
        </w:rPr>
        <w:t>3.2</w:t>
      </w:r>
      <w:r>
        <w:rPr>
          <w:sz w:val="24"/>
          <w:szCs w:val="24"/>
        </w:rPr>
        <w:tab/>
        <w:t>Where an individual’s pension is calculated on the level of pay at the time of retirement no AVCs at all are involved.</w:t>
      </w:r>
    </w:p>
    <w:p w14:paraId="0D484D3B" w14:textId="6E108D28" w:rsidR="0044335A" w:rsidRDefault="00F968B3" w:rsidP="00F968B3">
      <w:pPr>
        <w:pBdr>
          <w:top w:val="single" w:sz="4" w:space="1" w:color="auto"/>
          <w:left w:val="single" w:sz="4" w:space="4" w:color="auto"/>
          <w:bottom w:val="single" w:sz="4" w:space="1" w:color="auto"/>
          <w:right w:val="single" w:sz="4" w:space="4" w:color="auto"/>
        </w:pBdr>
        <w:shd w:val="clear" w:color="auto" w:fill="D5D5D5" w:themeFill="accent3" w:themeFillTint="66"/>
        <w:jc w:val="both"/>
        <w:rPr>
          <w:sz w:val="24"/>
          <w:szCs w:val="24"/>
        </w:rPr>
      </w:pPr>
      <w:r>
        <w:rPr>
          <w:sz w:val="24"/>
          <w:szCs w:val="24"/>
        </w:rPr>
        <w:t>3.3</w:t>
      </w:r>
      <w:r>
        <w:rPr>
          <w:sz w:val="24"/>
          <w:szCs w:val="24"/>
        </w:rPr>
        <w:tab/>
        <w:t>And for the vast majority of our members with AVCs these are in place to make up a shortfall of years of service where an individual will not have 40 years-service at retirement.</w:t>
      </w:r>
    </w:p>
    <w:p w14:paraId="16629580" w14:textId="77777777" w:rsidR="00F968B3" w:rsidRDefault="00F968B3" w:rsidP="00F968B3">
      <w:pPr>
        <w:pBdr>
          <w:top w:val="single" w:sz="4" w:space="1" w:color="auto"/>
          <w:left w:val="single" w:sz="4" w:space="4" w:color="auto"/>
          <w:bottom w:val="single" w:sz="4" w:space="1" w:color="auto"/>
          <w:right w:val="single" w:sz="4" w:space="4" w:color="auto"/>
        </w:pBdr>
        <w:shd w:val="clear" w:color="auto" w:fill="D5D5D5" w:themeFill="accent3" w:themeFillTint="66"/>
        <w:jc w:val="both"/>
        <w:rPr>
          <w:b/>
          <w:bCs/>
          <w:sz w:val="28"/>
          <w:szCs w:val="28"/>
          <w:bdr w:val="single" w:sz="4" w:space="0" w:color="auto"/>
        </w:rPr>
      </w:pPr>
    </w:p>
    <w:p w14:paraId="38D21735" w14:textId="77777777" w:rsidR="0044335A" w:rsidRPr="00015D57" w:rsidRDefault="0044335A" w:rsidP="00C62C53">
      <w:pPr>
        <w:spacing w:after="240"/>
        <w:jc w:val="both"/>
        <w:rPr>
          <w:b/>
          <w:bCs/>
          <w:sz w:val="28"/>
          <w:szCs w:val="28"/>
          <w:bdr w:val="single" w:sz="4" w:space="0" w:color="auto"/>
        </w:rPr>
      </w:pPr>
    </w:p>
    <w:p w14:paraId="385A9C14" w14:textId="77777777" w:rsidR="004F3FFD" w:rsidRDefault="004F3FFD" w:rsidP="00C62C53">
      <w:pPr>
        <w:pBdr>
          <w:top w:val="single" w:sz="4" w:space="1" w:color="auto"/>
          <w:left w:val="single" w:sz="4" w:space="4" w:color="auto"/>
          <w:bottom w:val="single" w:sz="4" w:space="1" w:color="auto"/>
          <w:right w:val="single" w:sz="4" w:space="4" w:color="auto"/>
        </w:pBdr>
        <w:shd w:val="clear" w:color="auto" w:fill="D5D5D5" w:themeFill="accent3" w:themeFillTint="66"/>
        <w:jc w:val="both"/>
        <w:rPr>
          <w:b/>
          <w:bCs/>
          <w:sz w:val="24"/>
          <w:szCs w:val="24"/>
        </w:rPr>
      </w:pPr>
    </w:p>
    <w:p w14:paraId="5A8C7658" w14:textId="0392F8AC" w:rsidR="00C62C53" w:rsidRDefault="00C62C53" w:rsidP="00C62C53">
      <w:pPr>
        <w:pBdr>
          <w:top w:val="single" w:sz="4" w:space="1" w:color="auto"/>
          <w:left w:val="single" w:sz="4" w:space="4" w:color="auto"/>
          <w:bottom w:val="single" w:sz="4" w:space="1" w:color="auto"/>
          <w:right w:val="single" w:sz="4" w:space="4" w:color="auto"/>
        </w:pBdr>
        <w:shd w:val="clear" w:color="auto" w:fill="D5D5D5" w:themeFill="accent3" w:themeFillTint="66"/>
        <w:jc w:val="both"/>
        <w:rPr>
          <w:b/>
          <w:bCs/>
          <w:sz w:val="24"/>
          <w:szCs w:val="24"/>
        </w:rPr>
      </w:pPr>
      <w:r w:rsidRPr="00714DCE">
        <w:rPr>
          <w:b/>
          <w:bCs/>
          <w:sz w:val="24"/>
          <w:szCs w:val="24"/>
        </w:rPr>
        <w:t>4</w:t>
      </w:r>
      <w:r w:rsidR="0043212E" w:rsidRPr="00714DCE">
        <w:rPr>
          <w:b/>
          <w:bCs/>
          <w:sz w:val="24"/>
          <w:szCs w:val="24"/>
        </w:rPr>
        <w:t>.</w:t>
      </w:r>
      <w:r w:rsidR="00625A7C" w:rsidRPr="00714DCE">
        <w:rPr>
          <w:b/>
          <w:bCs/>
          <w:sz w:val="24"/>
          <w:szCs w:val="24"/>
        </w:rPr>
        <w:t>0</w:t>
      </w:r>
      <w:r>
        <w:rPr>
          <w:sz w:val="24"/>
          <w:szCs w:val="24"/>
        </w:rPr>
        <w:tab/>
      </w:r>
      <w:r w:rsidRPr="007C4A8B">
        <w:rPr>
          <w:b/>
          <w:bCs/>
          <w:sz w:val="24"/>
          <w:szCs w:val="24"/>
        </w:rPr>
        <w:t>Going forward</w:t>
      </w:r>
      <w:r>
        <w:rPr>
          <w:sz w:val="24"/>
          <w:szCs w:val="24"/>
        </w:rPr>
        <w:t xml:space="preserve"> l</w:t>
      </w:r>
      <w:r w:rsidRPr="00625A7C">
        <w:rPr>
          <w:b/>
          <w:bCs/>
          <w:sz w:val="24"/>
          <w:szCs w:val="24"/>
        </w:rPr>
        <w:t xml:space="preserve">ink the SFT to earnings by way of annual increases from 2025 onwards whereby the minimum of CPI or average pay awards </w:t>
      </w:r>
      <w:r>
        <w:rPr>
          <w:b/>
          <w:bCs/>
          <w:sz w:val="24"/>
          <w:szCs w:val="24"/>
        </w:rPr>
        <w:t xml:space="preserve">automatically </w:t>
      </w:r>
      <w:r w:rsidRPr="00625A7C">
        <w:rPr>
          <w:b/>
          <w:bCs/>
          <w:sz w:val="24"/>
          <w:szCs w:val="24"/>
        </w:rPr>
        <w:t>appl</w:t>
      </w:r>
      <w:r>
        <w:rPr>
          <w:b/>
          <w:bCs/>
          <w:sz w:val="24"/>
          <w:szCs w:val="24"/>
        </w:rPr>
        <w:t>ies.</w:t>
      </w:r>
    </w:p>
    <w:p w14:paraId="643886F1" w14:textId="25BA9DA8" w:rsidR="00965D75" w:rsidRDefault="00DC37EC" w:rsidP="00C62C53">
      <w:pPr>
        <w:pBdr>
          <w:top w:val="single" w:sz="4" w:space="1" w:color="auto"/>
          <w:left w:val="single" w:sz="4" w:space="4" w:color="auto"/>
          <w:bottom w:val="single" w:sz="4" w:space="1" w:color="auto"/>
          <w:right w:val="single" w:sz="4" w:space="4" w:color="auto"/>
        </w:pBdr>
        <w:shd w:val="clear" w:color="auto" w:fill="D5D5D5" w:themeFill="accent3" w:themeFillTint="66"/>
        <w:jc w:val="both"/>
        <w:rPr>
          <w:sz w:val="24"/>
          <w:szCs w:val="24"/>
        </w:rPr>
      </w:pPr>
      <w:r w:rsidRPr="00DC37EC">
        <w:rPr>
          <w:sz w:val="24"/>
          <w:szCs w:val="24"/>
        </w:rPr>
        <w:t>4.1</w:t>
      </w:r>
      <w:r w:rsidRPr="00DC37EC">
        <w:rPr>
          <w:sz w:val="24"/>
          <w:szCs w:val="24"/>
        </w:rPr>
        <w:tab/>
      </w:r>
      <w:r>
        <w:rPr>
          <w:sz w:val="24"/>
          <w:szCs w:val="24"/>
        </w:rPr>
        <w:t xml:space="preserve">Unless either indexation is applied or there is recognition of </w:t>
      </w:r>
      <w:r w:rsidR="00866A98">
        <w:rPr>
          <w:sz w:val="24"/>
          <w:szCs w:val="24"/>
        </w:rPr>
        <w:t>average pay awards on an annual basis from 2025 onwards</w:t>
      </w:r>
      <w:r w:rsidR="00965D75">
        <w:rPr>
          <w:sz w:val="24"/>
          <w:szCs w:val="24"/>
        </w:rPr>
        <w:t>,</w:t>
      </w:r>
      <w:r w:rsidR="00866A98">
        <w:rPr>
          <w:sz w:val="24"/>
          <w:szCs w:val="24"/>
        </w:rPr>
        <w:t xml:space="preserve"> </w:t>
      </w:r>
      <w:r w:rsidR="00C65B4F">
        <w:rPr>
          <w:sz w:val="24"/>
          <w:szCs w:val="24"/>
        </w:rPr>
        <w:t xml:space="preserve">we will be faced with the same situation in </w:t>
      </w:r>
      <w:r w:rsidR="009F6D56">
        <w:rPr>
          <w:sz w:val="24"/>
          <w:szCs w:val="24"/>
        </w:rPr>
        <w:t>5- or 10-</w:t>
      </w:r>
      <w:proofErr w:type="spellStart"/>
      <w:r w:rsidR="00977973">
        <w:rPr>
          <w:sz w:val="24"/>
          <w:szCs w:val="24"/>
        </w:rPr>
        <w:t>years time</w:t>
      </w:r>
      <w:proofErr w:type="spellEnd"/>
      <w:r w:rsidR="00C65B4F">
        <w:rPr>
          <w:sz w:val="24"/>
          <w:szCs w:val="24"/>
        </w:rPr>
        <w:t xml:space="preserve"> </w:t>
      </w:r>
      <w:r w:rsidR="00866A98">
        <w:rPr>
          <w:sz w:val="24"/>
          <w:szCs w:val="24"/>
        </w:rPr>
        <w:t>whereby</w:t>
      </w:r>
      <w:r w:rsidR="004E57BA">
        <w:rPr>
          <w:sz w:val="24"/>
          <w:szCs w:val="24"/>
        </w:rPr>
        <w:t xml:space="preserve"> the SFT has not kept pace with </w:t>
      </w:r>
      <w:r w:rsidR="00977973">
        <w:rPr>
          <w:sz w:val="24"/>
          <w:szCs w:val="24"/>
        </w:rPr>
        <w:t>cost-of-living</w:t>
      </w:r>
      <w:r w:rsidR="004E57BA">
        <w:rPr>
          <w:sz w:val="24"/>
          <w:szCs w:val="24"/>
        </w:rPr>
        <w:t xml:space="preserve"> increases. </w:t>
      </w:r>
    </w:p>
    <w:p w14:paraId="71984DBE" w14:textId="2425E0B9" w:rsidR="00714DCE" w:rsidRDefault="00965D75" w:rsidP="00C62C53">
      <w:pPr>
        <w:pBdr>
          <w:top w:val="single" w:sz="4" w:space="1" w:color="auto"/>
          <w:left w:val="single" w:sz="4" w:space="4" w:color="auto"/>
          <w:bottom w:val="single" w:sz="4" w:space="1" w:color="auto"/>
          <w:right w:val="single" w:sz="4" w:space="4" w:color="auto"/>
        </w:pBdr>
        <w:shd w:val="clear" w:color="auto" w:fill="D5D5D5" w:themeFill="accent3" w:themeFillTint="66"/>
        <w:jc w:val="both"/>
        <w:rPr>
          <w:sz w:val="24"/>
          <w:szCs w:val="24"/>
        </w:rPr>
      </w:pPr>
      <w:r>
        <w:rPr>
          <w:sz w:val="24"/>
          <w:szCs w:val="24"/>
        </w:rPr>
        <w:t>4.2</w:t>
      </w:r>
      <w:r>
        <w:rPr>
          <w:sz w:val="24"/>
          <w:szCs w:val="24"/>
        </w:rPr>
        <w:tab/>
        <w:t xml:space="preserve">The current National Pay Talks have resulted in a recommendation </w:t>
      </w:r>
      <w:r w:rsidR="00642B68">
        <w:rPr>
          <w:sz w:val="24"/>
          <w:szCs w:val="24"/>
        </w:rPr>
        <w:t>of 10.25% in all</w:t>
      </w:r>
      <w:r w:rsidR="00C34A3E">
        <w:rPr>
          <w:sz w:val="24"/>
          <w:szCs w:val="24"/>
        </w:rPr>
        <w:t xml:space="preserve"> for our members</w:t>
      </w:r>
      <w:r w:rsidR="008C60A2">
        <w:rPr>
          <w:sz w:val="24"/>
          <w:szCs w:val="24"/>
        </w:rPr>
        <w:t>;</w:t>
      </w:r>
      <w:r w:rsidR="00642B68">
        <w:rPr>
          <w:sz w:val="24"/>
          <w:szCs w:val="24"/>
        </w:rPr>
        <w:t xml:space="preserve"> </w:t>
      </w:r>
      <w:r w:rsidR="00C34A3E">
        <w:rPr>
          <w:sz w:val="24"/>
          <w:szCs w:val="24"/>
        </w:rPr>
        <w:t>4.25%</w:t>
      </w:r>
      <w:r>
        <w:rPr>
          <w:sz w:val="24"/>
          <w:szCs w:val="24"/>
        </w:rPr>
        <w:t xml:space="preserve"> </w:t>
      </w:r>
      <w:r w:rsidR="00866A98">
        <w:rPr>
          <w:sz w:val="24"/>
          <w:szCs w:val="24"/>
        </w:rPr>
        <w:t xml:space="preserve"> </w:t>
      </w:r>
      <w:r w:rsidR="00C34A3E">
        <w:rPr>
          <w:sz w:val="24"/>
          <w:szCs w:val="24"/>
        </w:rPr>
        <w:t>in 2024</w:t>
      </w:r>
      <w:r w:rsidR="008C60A2">
        <w:rPr>
          <w:sz w:val="24"/>
          <w:szCs w:val="24"/>
        </w:rPr>
        <w:t>; 4% in 2025 (inclusive of a local bargaining clause)</w:t>
      </w:r>
      <w:r w:rsidR="00162213">
        <w:rPr>
          <w:sz w:val="24"/>
          <w:szCs w:val="24"/>
        </w:rPr>
        <w:t xml:space="preserve"> and 2% in 2026. </w:t>
      </w:r>
    </w:p>
    <w:p w14:paraId="29DE837A" w14:textId="47F0A414" w:rsidR="00D82F68" w:rsidRDefault="00162213" w:rsidP="00C62C53">
      <w:pPr>
        <w:pBdr>
          <w:top w:val="single" w:sz="4" w:space="1" w:color="auto"/>
          <w:left w:val="single" w:sz="4" w:space="4" w:color="auto"/>
          <w:bottom w:val="single" w:sz="4" w:space="1" w:color="auto"/>
          <w:right w:val="single" w:sz="4" w:space="4" w:color="auto"/>
        </w:pBdr>
        <w:shd w:val="clear" w:color="auto" w:fill="D5D5D5" w:themeFill="accent3" w:themeFillTint="66"/>
        <w:jc w:val="both"/>
        <w:rPr>
          <w:sz w:val="24"/>
          <w:szCs w:val="24"/>
        </w:rPr>
      </w:pPr>
      <w:r>
        <w:rPr>
          <w:sz w:val="24"/>
          <w:szCs w:val="24"/>
        </w:rPr>
        <w:t>4.3</w:t>
      </w:r>
      <w:r>
        <w:rPr>
          <w:sz w:val="24"/>
          <w:szCs w:val="24"/>
        </w:rPr>
        <w:tab/>
        <w:t xml:space="preserve">Throughout </w:t>
      </w:r>
      <w:r w:rsidR="00285404">
        <w:rPr>
          <w:sz w:val="24"/>
          <w:szCs w:val="24"/>
        </w:rPr>
        <w:t>the negotiations there was strong emphasis on recognising cost of living increases and an attempt to future proof</w:t>
      </w:r>
      <w:r w:rsidR="003B12B9">
        <w:rPr>
          <w:sz w:val="24"/>
          <w:szCs w:val="24"/>
        </w:rPr>
        <w:t xml:space="preserve">ing of quality </w:t>
      </w:r>
      <w:r w:rsidR="003C6904">
        <w:rPr>
          <w:sz w:val="24"/>
          <w:szCs w:val="24"/>
        </w:rPr>
        <w:t xml:space="preserve">civil and </w:t>
      </w:r>
      <w:r w:rsidR="003B12B9">
        <w:rPr>
          <w:sz w:val="24"/>
          <w:szCs w:val="24"/>
        </w:rPr>
        <w:t xml:space="preserve">public service </w:t>
      </w:r>
      <w:r w:rsidR="000E0F3F">
        <w:rPr>
          <w:sz w:val="24"/>
          <w:szCs w:val="24"/>
        </w:rPr>
        <w:t xml:space="preserve">and </w:t>
      </w:r>
      <w:r w:rsidR="003C6904">
        <w:rPr>
          <w:sz w:val="24"/>
          <w:szCs w:val="24"/>
        </w:rPr>
        <w:t xml:space="preserve">civil and </w:t>
      </w:r>
      <w:r w:rsidR="000E0F3F">
        <w:rPr>
          <w:sz w:val="24"/>
          <w:szCs w:val="24"/>
        </w:rPr>
        <w:t xml:space="preserve">public service employment and </w:t>
      </w:r>
      <w:r w:rsidR="00285404">
        <w:rPr>
          <w:sz w:val="24"/>
          <w:szCs w:val="24"/>
        </w:rPr>
        <w:t>earnings</w:t>
      </w:r>
      <w:r w:rsidR="000E0F3F">
        <w:rPr>
          <w:sz w:val="24"/>
          <w:szCs w:val="24"/>
        </w:rPr>
        <w:t>.</w:t>
      </w:r>
    </w:p>
    <w:p w14:paraId="0ECFA2DB" w14:textId="6DE8D06A" w:rsidR="00625A7C" w:rsidRDefault="00D82F68" w:rsidP="003A770F">
      <w:pPr>
        <w:pBdr>
          <w:top w:val="single" w:sz="4" w:space="1" w:color="auto"/>
          <w:left w:val="single" w:sz="4" w:space="4" w:color="auto"/>
          <w:bottom w:val="single" w:sz="4" w:space="1" w:color="auto"/>
          <w:right w:val="single" w:sz="4" w:space="4" w:color="auto"/>
        </w:pBdr>
        <w:shd w:val="clear" w:color="auto" w:fill="D5D5D5" w:themeFill="accent3" w:themeFillTint="66"/>
        <w:jc w:val="both"/>
        <w:rPr>
          <w:sz w:val="24"/>
          <w:szCs w:val="24"/>
        </w:rPr>
      </w:pPr>
      <w:r>
        <w:rPr>
          <w:sz w:val="24"/>
          <w:szCs w:val="24"/>
        </w:rPr>
        <w:t>4.4</w:t>
      </w:r>
      <w:r>
        <w:rPr>
          <w:sz w:val="24"/>
          <w:szCs w:val="24"/>
        </w:rPr>
        <w:tab/>
        <w:t xml:space="preserve">The tax treatment of </w:t>
      </w:r>
      <w:r w:rsidR="006525C3">
        <w:rPr>
          <w:sz w:val="24"/>
          <w:szCs w:val="24"/>
        </w:rPr>
        <w:t xml:space="preserve">civil and </w:t>
      </w:r>
      <w:r w:rsidR="00AC51CB">
        <w:rPr>
          <w:sz w:val="24"/>
          <w:szCs w:val="24"/>
        </w:rPr>
        <w:t xml:space="preserve">public service pensions is intrinsically linked to </w:t>
      </w:r>
      <w:r w:rsidR="006525C3">
        <w:rPr>
          <w:sz w:val="24"/>
          <w:szCs w:val="24"/>
        </w:rPr>
        <w:t xml:space="preserve">civil and </w:t>
      </w:r>
      <w:r w:rsidR="00AC51CB">
        <w:rPr>
          <w:sz w:val="24"/>
          <w:szCs w:val="24"/>
        </w:rPr>
        <w:t>public service employment an</w:t>
      </w:r>
      <w:r w:rsidR="007059F1">
        <w:rPr>
          <w:sz w:val="24"/>
          <w:szCs w:val="24"/>
        </w:rPr>
        <w:t xml:space="preserve">d </w:t>
      </w:r>
      <w:r w:rsidR="001C0AEF">
        <w:rPr>
          <w:sz w:val="24"/>
          <w:szCs w:val="24"/>
        </w:rPr>
        <w:t xml:space="preserve">there is therefore a need to ensure the </w:t>
      </w:r>
      <w:r w:rsidR="00AA63FD">
        <w:rPr>
          <w:sz w:val="24"/>
          <w:szCs w:val="24"/>
        </w:rPr>
        <w:t>SFT keep</w:t>
      </w:r>
      <w:r w:rsidR="001C0AEF">
        <w:rPr>
          <w:sz w:val="24"/>
          <w:szCs w:val="24"/>
        </w:rPr>
        <w:t>s</w:t>
      </w:r>
      <w:r w:rsidR="00AA63FD">
        <w:rPr>
          <w:sz w:val="24"/>
          <w:szCs w:val="24"/>
        </w:rPr>
        <w:t xml:space="preserve"> pace with</w:t>
      </w:r>
      <w:r w:rsidR="001C0AEF">
        <w:rPr>
          <w:sz w:val="24"/>
          <w:szCs w:val="24"/>
        </w:rPr>
        <w:t xml:space="preserve"> such </w:t>
      </w:r>
      <w:r w:rsidR="006525C3">
        <w:rPr>
          <w:sz w:val="24"/>
          <w:szCs w:val="24"/>
        </w:rPr>
        <w:t>developments</w:t>
      </w:r>
      <w:r w:rsidR="001C0AEF">
        <w:rPr>
          <w:sz w:val="24"/>
          <w:szCs w:val="24"/>
        </w:rPr>
        <w:t>.</w:t>
      </w:r>
      <w:r w:rsidR="00AA63FD">
        <w:rPr>
          <w:sz w:val="24"/>
          <w:szCs w:val="24"/>
        </w:rPr>
        <w:t xml:space="preserve"> </w:t>
      </w:r>
      <w:r w:rsidR="00366F4B">
        <w:rPr>
          <w:sz w:val="24"/>
          <w:szCs w:val="24"/>
        </w:rPr>
        <w:tab/>
      </w:r>
    </w:p>
    <w:p w14:paraId="3740187D" w14:textId="022306AB" w:rsidR="00E911D6" w:rsidRPr="00126336" w:rsidRDefault="000D558C" w:rsidP="00017CC6">
      <w:pPr>
        <w:pBdr>
          <w:top w:val="single" w:sz="4" w:space="1" w:color="auto"/>
          <w:left w:val="single" w:sz="4" w:space="4" w:color="auto"/>
          <w:bottom w:val="single" w:sz="4" w:space="1" w:color="auto"/>
          <w:right w:val="single" w:sz="4" w:space="4" w:color="auto"/>
        </w:pBdr>
        <w:shd w:val="clear" w:color="auto" w:fill="D5D5D5" w:themeFill="accent3" w:themeFillTint="66"/>
        <w:jc w:val="both"/>
        <w:rPr>
          <w:sz w:val="24"/>
          <w:szCs w:val="24"/>
        </w:rPr>
      </w:pPr>
      <w:r>
        <w:rPr>
          <w:sz w:val="24"/>
          <w:szCs w:val="24"/>
        </w:rPr>
        <w:t xml:space="preserve"> </w:t>
      </w:r>
      <w:r w:rsidR="00EF0AD2">
        <w:rPr>
          <w:sz w:val="24"/>
          <w:szCs w:val="24"/>
        </w:rPr>
        <w:t xml:space="preserve"> </w:t>
      </w:r>
      <w:r w:rsidR="005F64C9">
        <w:rPr>
          <w:sz w:val="24"/>
          <w:szCs w:val="24"/>
        </w:rPr>
        <w:t xml:space="preserve"> </w:t>
      </w:r>
      <w:r w:rsidR="007B33AE">
        <w:rPr>
          <w:sz w:val="24"/>
          <w:szCs w:val="24"/>
        </w:rPr>
        <w:t xml:space="preserve"> </w:t>
      </w:r>
      <w:r w:rsidR="00D256AB">
        <w:rPr>
          <w:sz w:val="24"/>
          <w:szCs w:val="24"/>
        </w:rPr>
        <w:t xml:space="preserve"> </w:t>
      </w:r>
    </w:p>
    <w:sectPr w:rsidR="00E911D6" w:rsidRPr="00126336" w:rsidSect="002F2B22">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5BB06" w14:textId="77777777" w:rsidR="002F2B22" w:rsidRDefault="002F2B22" w:rsidP="0037467E">
      <w:pPr>
        <w:spacing w:after="0" w:line="240" w:lineRule="auto"/>
      </w:pPr>
      <w:r>
        <w:separator/>
      </w:r>
    </w:p>
  </w:endnote>
  <w:endnote w:type="continuationSeparator" w:id="0">
    <w:p w14:paraId="533A5D64" w14:textId="77777777" w:rsidR="002F2B22" w:rsidRDefault="002F2B22" w:rsidP="00374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1732570"/>
      <w:docPartObj>
        <w:docPartGallery w:val="Page Numbers (Bottom of Page)"/>
        <w:docPartUnique/>
      </w:docPartObj>
    </w:sdtPr>
    <w:sdtEndPr>
      <w:rPr>
        <w:color w:val="7F7F7F" w:themeColor="background1" w:themeShade="7F"/>
        <w:spacing w:val="60"/>
      </w:rPr>
    </w:sdtEndPr>
    <w:sdtContent>
      <w:p w14:paraId="2A034148" w14:textId="558F3EF1" w:rsidR="0037467E" w:rsidRDefault="0037467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B8B10E2" w14:textId="3FD06591" w:rsidR="0037467E" w:rsidRDefault="0037467E">
    <w:pPr>
      <w:pStyle w:val="Footer"/>
    </w:pPr>
    <w:r>
      <w:rPr>
        <w:noProof/>
      </w:rPr>
      <w:drawing>
        <wp:inline distT="0" distB="0" distL="0" distR="0" wp14:anchorId="38D54AB0" wp14:editId="699F01B3">
          <wp:extent cx="1036320" cy="175260"/>
          <wp:effectExtent l="0" t="0" r="11430" b="1524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36320" cy="1752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3D7F2" w14:textId="77777777" w:rsidR="002F2B22" w:rsidRDefault="002F2B22" w:rsidP="0037467E">
      <w:pPr>
        <w:spacing w:after="0" w:line="240" w:lineRule="auto"/>
      </w:pPr>
      <w:r>
        <w:separator/>
      </w:r>
    </w:p>
  </w:footnote>
  <w:footnote w:type="continuationSeparator" w:id="0">
    <w:p w14:paraId="67E15B54" w14:textId="77777777" w:rsidR="002F2B22" w:rsidRDefault="002F2B22" w:rsidP="00374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E6C59"/>
    <w:multiLevelType w:val="multilevel"/>
    <w:tmpl w:val="2FB8EC7A"/>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776B0E"/>
    <w:multiLevelType w:val="hybridMultilevel"/>
    <w:tmpl w:val="402082AE"/>
    <w:lvl w:ilvl="0" w:tplc="18090015">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10733578"/>
    <w:multiLevelType w:val="hybridMultilevel"/>
    <w:tmpl w:val="C5E0C122"/>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B255440"/>
    <w:multiLevelType w:val="hybridMultilevel"/>
    <w:tmpl w:val="386ABF10"/>
    <w:lvl w:ilvl="0" w:tplc="5980E9EE">
      <w:start w:val="1"/>
      <w:numFmt w:val="decimalZero"/>
      <w:lvlText w:val="%1"/>
      <w:lvlJc w:val="left"/>
      <w:pPr>
        <w:ind w:left="851" w:hanging="491"/>
      </w:pPr>
      <w:rPr>
        <w:rFonts w:ascii="Times New Roman" w:hAnsi="Times New Roman" w:cs="Times New Roman" w:hint="default"/>
        <w:b/>
        <w:bCs/>
        <w:sz w:val="20"/>
        <w:szCs w:val="2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2ED1385B"/>
    <w:multiLevelType w:val="hybridMultilevel"/>
    <w:tmpl w:val="8C5ABB20"/>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2FEC2B7C"/>
    <w:multiLevelType w:val="hybridMultilevel"/>
    <w:tmpl w:val="5C8024DC"/>
    <w:lvl w:ilvl="0" w:tplc="1809000F">
      <w:start w:val="7"/>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6" w15:restartNumberingAfterBreak="0">
    <w:nsid w:val="4EF60066"/>
    <w:multiLevelType w:val="hybridMultilevel"/>
    <w:tmpl w:val="61C67668"/>
    <w:lvl w:ilvl="0" w:tplc="585A0C8C">
      <w:start w:val="1"/>
      <w:numFmt w:val="decimal"/>
      <w:lvlText w:val="%1."/>
      <w:lvlJc w:val="left"/>
      <w:pPr>
        <w:ind w:left="644" w:hanging="360"/>
      </w:pPr>
      <w:rPr>
        <w:b/>
        <w:bCs/>
        <w:i w:val="0"/>
        <w:iCs w:val="0"/>
        <w:color w:val="auto"/>
        <w:sz w:val="20"/>
        <w:szCs w:val="2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58143C70"/>
    <w:multiLevelType w:val="hybridMultilevel"/>
    <w:tmpl w:val="CBB6A64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7C6032E9"/>
    <w:multiLevelType w:val="hybridMultilevel"/>
    <w:tmpl w:val="FF3C44FC"/>
    <w:lvl w:ilvl="0" w:tplc="585A0C8C">
      <w:start w:val="1"/>
      <w:numFmt w:val="decimal"/>
      <w:lvlText w:val="%1."/>
      <w:lvlJc w:val="left"/>
      <w:pPr>
        <w:ind w:left="426" w:hanging="360"/>
      </w:pPr>
      <w:rPr>
        <w:b/>
        <w:bCs/>
        <w:i w:val="0"/>
        <w:iCs w:val="0"/>
        <w:color w:val="auto"/>
        <w:sz w:val="20"/>
        <w:szCs w:val="20"/>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num w:numId="1" w16cid:durableId="454370563">
    <w:abstractNumId w:val="4"/>
  </w:num>
  <w:num w:numId="2" w16cid:durableId="8703875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9989667">
    <w:abstractNumId w:val="1"/>
  </w:num>
  <w:num w:numId="4" w16cid:durableId="460653259">
    <w:abstractNumId w:val="2"/>
  </w:num>
  <w:num w:numId="5" w16cid:durableId="439450425">
    <w:abstractNumId w:val="6"/>
  </w:num>
  <w:num w:numId="6" w16cid:durableId="10905389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05385946">
    <w:abstractNumId w:val="6"/>
  </w:num>
  <w:num w:numId="8" w16cid:durableId="442962123">
    <w:abstractNumId w:val="8"/>
  </w:num>
  <w:num w:numId="9" w16cid:durableId="566764758">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904762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67E"/>
    <w:rsid w:val="00001842"/>
    <w:rsid w:val="00001962"/>
    <w:rsid w:val="00003398"/>
    <w:rsid w:val="00003FA5"/>
    <w:rsid w:val="0000552B"/>
    <w:rsid w:val="00006AC8"/>
    <w:rsid w:val="00006B03"/>
    <w:rsid w:val="0001074B"/>
    <w:rsid w:val="000122C1"/>
    <w:rsid w:val="00012772"/>
    <w:rsid w:val="00012CD0"/>
    <w:rsid w:val="00013D07"/>
    <w:rsid w:val="0001564F"/>
    <w:rsid w:val="00015C77"/>
    <w:rsid w:val="00015D57"/>
    <w:rsid w:val="000179DE"/>
    <w:rsid w:val="00017CC6"/>
    <w:rsid w:val="00017FCE"/>
    <w:rsid w:val="00020983"/>
    <w:rsid w:val="0002112B"/>
    <w:rsid w:val="00021BE9"/>
    <w:rsid w:val="00022231"/>
    <w:rsid w:val="00022F80"/>
    <w:rsid w:val="00023F23"/>
    <w:rsid w:val="00025F6A"/>
    <w:rsid w:val="00027B6C"/>
    <w:rsid w:val="0003014F"/>
    <w:rsid w:val="000301E9"/>
    <w:rsid w:val="00032FFC"/>
    <w:rsid w:val="00033A22"/>
    <w:rsid w:val="0003433C"/>
    <w:rsid w:val="000349D4"/>
    <w:rsid w:val="00035631"/>
    <w:rsid w:val="00041AAC"/>
    <w:rsid w:val="00041C99"/>
    <w:rsid w:val="00042731"/>
    <w:rsid w:val="00046D13"/>
    <w:rsid w:val="000477E8"/>
    <w:rsid w:val="000479D0"/>
    <w:rsid w:val="000502BA"/>
    <w:rsid w:val="0005314D"/>
    <w:rsid w:val="00054831"/>
    <w:rsid w:val="00060DA5"/>
    <w:rsid w:val="000611AB"/>
    <w:rsid w:val="000624A9"/>
    <w:rsid w:val="000626FE"/>
    <w:rsid w:val="00062FCE"/>
    <w:rsid w:val="000637EE"/>
    <w:rsid w:val="00064DC6"/>
    <w:rsid w:val="00065C56"/>
    <w:rsid w:val="000669AA"/>
    <w:rsid w:val="00066B8B"/>
    <w:rsid w:val="00066E13"/>
    <w:rsid w:val="000730B9"/>
    <w:rsid w:val="00074862"/>
    <w:rsid w:val="0007762E"/>
    <w:rsid w:val="00077B27"/>
    <w:rsid w:val="00080BB3"/>
    <w:rsid w:val="00081A3C"/>
    <w:rsid w:val="000822C2"/>
    <w:rsid w:val="00082820"/>
    <w:rsid w:val="000833EC"/>
    <w:rsid w:val="00083F5B"/>
    <w:rsid w:val="000848C1"/>
    <w:rsid w:val="000902BF"/>
    <w:rsid w:val="00090559"/>
    <w:rsid w:val="000920B9"/>
    <w:rsid w:val="00092A2D"/>
    <w:rsid w:val="00095217"/>
    <w:rsid w:val="00096EAB"/>
    <w:rsid w:val="000A06FD"/>
    <w:rsid w:val="000A0C09"/>
    <w:rsid w:val="000A6451"/>
    <w:rsid w:val="000B0569"/>
    <w:rsid w:val="000B3141"/>
    <w:rsid w:val="000B7304"/>
    <w:rsid w:val="000C0C34"/>
    <w:rsid w:val="000C4EA2"/>
    <w:rsid w:val="000C5C60"/>
    <w:rsid w:val="000C6121"/>
    <w:rsid w:val="000D0789"/>
    <w:rsid w:val="000D0BC3"/>
    <w:rsid w:val="000D10E7"/>
    <w:rsid w:val="000D2B7C"/>
    <w:rsid w:val="000D3571"/>
    <w:rsid w:val="000D3C1B"/>
    <w:rsid w:val="000D4069"/>
    <w:rsid w:val="000D4307"/>
    <w:rsid w:val="000D4CD2"/>
    <w:rsid w:val="000D5202"/>
    <w:rsid w:val="000D558C"/>
    <w:rsid w:val="000D663B"/>
    <w:rsid w:val="000D6A19"/>
    <w:rsid w:val="000D712C"/>
    <w:rsid w:val="000D74FC"/>
    <w:rsid w:val="000E0789"/>
    <w:rsid w:val="000E0A31"/>
    <w:rsid w:val="000E0F3F"/>
    <w:rsid w:val="000E1875"/>
    <w:rsid w:val="000E735D"/>
    <w:rsid w:val="000F061E"/>
    <w:rsid w:val="000F0B86"/>
    <w:rsid w:val="000F315B"/>
    <w:rsid w:val="000F460C"/>
    <w:rsid w:val="000F46DB"/>
    <w:rsid w:val="000F52A9"/>
    <w:rsid w:val="00100D40"/>
    <w:rsid w:val="001012C5"/>
    <w:rsid w:val="00101B13"/>
    <w:rsid w:val="00101BC1"/>
    <w:rsid w:val="001055CD"/>
    <w:rsid w:val="00105DC4"/>
    <w:rsid w:val="001061B3"/>
    <w:rsid w:val="001065E2"/>
    <w:rsid w:val="001076A0"/>
    <w:rsid w:val="0010771C"/>
    <w:rsid w:val="001079D0"/>
    <w:rsid w:val="00107E95"/>
    <w:rsid w:val="0011071D"/>
    <w:rsid w:val="00111778"/>
    <w:rsid w:val="00112085"/>
    <w:rsid w:val="001126C7"/>
    <w:rsid w:val="001141A9"/>
    <w:rsid w:val="0011425A"/>
    <w:rsid w:val="00114A56"/>
    <w:rsid w:val="0011504D"/>
    <w:rsid w:val="0011626E"/>
    <w:rsid w:val="00117B64"/>
    <w:rsid w:val="00120102"/>
    <w:rsid w:val="001212E2"/>
    <w:rsid w:val="00122649"/>
    <w:rsid w:val="0012319B"/>
    <w:rsid w:val="001231F0"/>
    <w:rsid w:val="001244C0"/>
    <w:rsid w:val="00124783"/>
    <w:rsid w:val="00124BAB"/>
    <w:rsid w:val="00126336"/>
    <w:rsid w:val="00126501"/>
    <w:rsid w:val="00126FE4"/>
    <w:rsid w:val="0012767B"/>
    <w:rsid w:val="00130D13"/>
    <w:rsid w:val="00132F73"/>
    <w:rsid w:val="00134844"/>
    <w:rsid w:val="001352D0"/>
    <w:rsid w:val="001355FE"/>
    <w:rsid w:val="00135859"/>
    <w:rsid w:val="001358F8"/>
    <w:rsid w:val="001369B9"/>
    <w:rsid w:val="00136AD7"/>
    <w:rsid w:val="00137B6B"/>
    <w:rsid w:val="0014059C"/>
    <w:rsid w:val="0014138B"/>
    <w:rsid w:val="00142179"/>
    <w:rsid w:val="00142777"/>
    <w:rsid w:val="00143186"/>
    <w:rsid w:val="00144D7D"/>
    <w:rsid w:val="0014665C"/>
    <w:rsid w:val="00147794"/>
    <w:rsid w:val="001479FA"/>
    <w:rsid w:val="001516AF"/>
    <w:rsid w:val="00151A9B"/>
    <w:rsid w:val="00151E78"/>
    <w:rsid w:val="00152563"/>
    <w:rsid w:val="00152C94"/>
    <w:rsid w:val="001541E0"/>
    <w:rsid w:val="00155325"/>
    <w:rsid w:val="0015765B"/>
    <w:rsid w:val="00160016"/>
    <w:rsid w:val="001607DE"/>
    <w:rsid w:val="001616E6"/>
    <w:rsid w:val="00162213"/>
    <w:rsid w:val="00163133"/>
    <w:rsid w:val="00163AF0"/>
    <w:rsid w:val="00164DF1"/>
    <w:rsid w:val="00165346"/>
    <w:rsid w:val="00166025"/>
    <w:rsid w:val="0016634F"/>
    <w:rsid w:val="00167733"/>
    <w:rsid w:val="00170E85"/>
    <w:rsid w:val="001713ED"/>
    <w:rsid w:val="00173445"/>
    <w:rsid w:val="0017375D"/>
    <w:rsid w:val="0017473C"/>
    <w:rsid w:val="00176D24"/>
    <w:rsid w:val="001805FA"/>
    <w:rsid w:val="00181626"/>
    <w:rsid w:val="00181DC6"/>
    <w:rsid w:val="00182AE3"/>
    <w:rsid w:val="00183DF6"/>
    <w:rsid w:val="001852D9"/>
    <w:rsid w:val="00186C20"/>
    <w:rsid w:val="00186FF5"/>
    <w:rsid w:val="001874F8"/>
    <w:rsid w:val="00187644"/>
    <w:rsid w:val="00187D29"/>
    <w:rsid w:val="001902A1"/>
    <w:rsid w:val="00192884"/>
    <w:rsid w:val="00192E51"/>
    <w:rsid w:val="001934AC"/>
    <w:rsid w:val="00193C7C"/>
    <w:rsid w:val="00193F49"/>
    <w:rsid w:val="00194529"/>
    <w:rsid w:val="001948DD"/>
    <w:rsid w:val="00194C30"/>
    <w:rsid w:val="00194F2F"/>
    <w:rsid w:val="00195DB9"/>
    <w:rsid w:val="00197C12"/>
    <w:rsid w:val="001A0015"/>
    <w:rsid w:val="001A064A"/>
    <w:rsid w:val="001A09B3"/>
    <w:rsid w:val="001A2C00"/>
    <w:rsid w:val="001A3028"/>
    <w:rsid w:val="001A4CAB"/>
    <w:rsid w:val="001A5209"/>
    <w:rsid w:val="001A581F"/>
    <w:rsid w:val="001A649E"/>
    <w:rsid w:val="001B04E1"/>
    <w:rsid w:val="001B75D1"/>
    <w:rsid w:val="001B7743"/>
    <w:rsid w:val="001C0AEF"/>
    <w:rsid w:val="001C0DDD"/>
    <w:rsid w:val="001C19A5"/>
    <w:rsid w:val="001C1A25"/>
    <w:rsid w:val="001C203B"/>
    <w:rsid w:val="001C20BB"/>
    <w:rsid w:val="001C3837"/>
    <w:rsid w:val="001C41C2"/>
    <w:rsid w:val="001C773D"/>
    <w:rsid w:val="001C7EA6"/>
    <w:rsid w:val="001D02CF"/>
    <w:rsid w:val="001D1888"/>
    <w:rsid w:val="001D505B"/>
    <w:rsid w:val="001D596C"/>
    <w:rsid w:val="001D603F"/>
    <w:rsid w:val="001D68B7"/>
    <w:rsid w:val="001D736B"/>
    <w:rsid w:val="001D750A"/>
    <w:rsid w:val="001E00F5"/>
    <w:rsid w:val="001E0608"/>
    <w:rsid w:val="001E06F4"/>
    <w:rsid w:val="001E106E"/>
    <w:rsid w:val="001E1C34"/>
    <w:rsid w:val="001E2A84"/>
    <w:rsid w:val="001E4583"/>
    <w:rsid w:val="001E4867"/>
    <w:rsid w:val="001E4AA3"/>
    <w:rsid w:val="001F1F01"/>
    <w:rsid w:val="001F2734"/>
    <w:rsid w:val="001F4C49"/>
    <w:rsid w:val="001F4CDD"/>
    <w:rsid w:val="001F5082"/>
    <w:rsid w:val="001F7AF5"/>
    <w:rsid w:val="00201D7D"/>
    <w:rsid w:val="0020281F"/>
    <w:rsid w:val="00202F55"/>
    <w:rsid w:val="00203180"/>
    <w:rsid w:val="0020426D"/>
    <w:rsid w:val="002045B5"/>
    <w:rsid w:val="00204759"/>
    <w:rsid w:val="00204D65"/>
    <w:rsid w:val="0020522D"/>
    <w:rsid w:val="00205611"/>
    <w:rsid w:val="00205C5D"/>
    <w:rsid w:val="00206526"/>
    <w:rsid w:val="0020658B"/>
    <w:rsid w:val="00206EE8"/>
    <w:rsid w:val="0020723E"/>
    <w:rsid w:val="00207347"/>
    <w:rsid w:val="002075F6"/>
    <w:rsid w:val="00210249"/>
    <w:rsid w:val="002134D9"/>
    <w:rsid w:val="00213B37"/>
    <w:rsid w:val="00215599"/>
    <w:rsid w:val="002158B8"/>
    <w:rsid w:val="00216054"/>
    <w:rsid w:val="00216F0C"/>
    <w:rsid w:val="002170CE"/>
    <w:rsid w:val="00220AAA"/>
    <w:rsid w:val="00220AB8"/>
    <w:rsid w:val="00220D49"/>
    <w:rsid w:val="00221D34"/>
    <w:rsid w:val="00222561"/>
    <w:rsid w:val="0022269C"/>
    <w:rsid w:val="002233D1"/>
    <w:rsid w:val="00223658"/>
    <w:rsid w:val="0022370C"/>
    <w:rsid w:val="002259FE"/>
    <w:rsid w:val="00225F55"/>
    <w:rsid w:val="00227450"/>
    <w:rsid w:val="00227F52"/>
    <w:rsid w:val="00230287"/>
    <w:rsid w:val="0023196D"/>
    <w:rsid w:val="00231C72"/>
    <w:rsid w:val="002321DB"/>
    <w:rsid w:val="00232739"/>
    <w:rsid w:val="00234DDE"/>
    <w:rsid w:val="002379CE"/>
    <w:rsid w:val="0024260C"/>
    <w:rsid w:val="002427EB"/>
    <w:rsid w:val="00243D3A"/>
    <w:rsid w:val="0024403D"/>
    <w:rsid w:val="002441F3"/>
    <w:rsid w:val="00246021"/>
    <w:rsid w:val="002461CC"/>
    <w:rsid w:val="002462CB"/>
    <w:rsid w:val="00246350"/>
    <w:rsid w:val="00246371"/>
    <w:rsid w:val="0024650B"/>
    <w:rsid w:val="002471EC"/>
    <w:rsid w:val="002501D9"/>
    <w:rsid w:val="00251056"/>
    <w:rsid w:val="002517E1"/>
    <w:rsid w:val="00252AEB"/>
    <w:rsid w:val="0025300B"/>
    <w:rsid w:val="002535D0"/>
    <w:rsid w:val="00253863"/>
    <w:rsid w:val="00253A8F"/>
    <w:rsid w:val="002545B5"/>
    <w:rsid w:val="0025470D"/>
    <w:rsid w:val="002554F4"/>
    <w:rsid w:val="00255529"/>
    <w:rsid w:val="002600DA"/>
    <w:rsid w:val="0026087C"/>
    <w:rsid w:val="00260DF9"/>
    <w:rsid w:val="002629D9"/>
    <w:rsid w:val="00263A7F"/>
    <w:rsid w:val="0026447A"/>
    <w:rsid w:val="0026478D"/>
    <w:rsid w:val="00266ABF"/>
    <w:rsid w:val="00267002"/>
    <w:rsid w:val="00267FA4"/>
    <w:rsid w:val="00270BB2"/>
    <w:rsid w:val="00272B87"/>
    <w:rsid w:val="002732C0"/>
    <w:rsid w:val="00273A76"/>
    <w:rsid w:val="00273B44"/>
    <w:rsid w:val="00273FF7"/>
    <w:rsid w:val="0027445A"/>
    <w:rsid w:val="00277B57"/>
    <w:rsid w:val="00277E84"/>
    <w:rsid w:val="00281453"/>
    <w:rsid w:val="00281651"/>
    <w:rsid w:val="00281DA1"/>
    <w:rsid w:val="00285404"/>
    <w:rsid w:val="00286703"/>
    <w:rsid w:val="00286F77"/>
    <w:rsid w:val="002903F8"/>
    <w:rsid w:val="002910C0"/>
    <w:rsid w:val="00293E78"/>
    <w:rsid w:val="002977A5"/>
    <w:rsid w:val="002977D6"/>
    <w:rsid w:val="002A10DF"/>
    <w:rsid w:val="002A697D"/>
    <w:rsid w:val="002A7C1E"/>
    <w:rsid w:val="002A7DC8"/>
    <w:rsid w:val="002B0364"/>
    <w:rsid w:val="002B08C3"/>
    <w:rsid w:val="002B1E66"/>
    <w:rsid w:val="002B2624"/>
    <w:rsid w:val="002B2E0C"/>
    <w:rsid w:val="002B362E"/>
    <w:rsid w:val="002B372C"/>
    <w:rsid w:val="002B5E77"/>
    <w:rsid w:val="002B5E7F"/>
    <w:rsid w:val="002B634E"/>
    <w:rsid w:val="002B6536"/>
    <w:rsid w:val="002C12DE"/>
    <w:rsid w:val="002C16E0"/>
    <w:rsid w:val="002C3269"/>
    <w:rsid w:val="002C3B2C"/>
    <w:rsid w:val="002C3FDF"/>
    <w:rsid w:val="002C6C22"/>
    <w:rsid w:val="002C732D"/>
    <w:rsid w:val="002C79BF"/>
    <w:rsid w:val="002D15E9"/>
    <w:rsid w:val="002D1711"/>
    <w:rsid w:val="002D1E71"/>
    <w:rsid w:val="002D37E6"/>
    <w:rsid w:val="002D3D3B"/>
    <w:rsid w:val="002D4128"/>
    <w:rsid w:val="002D440B"/>
    <w:rsid w:val="002D4882"/>
    <w:rsid w:val="002D4C5B"/>
    <w:rsid w:val="002D6611"/>
    <w:rsid w:val="002D6BBE"/>
    <w:rsid w:val="002D7142"/>
    <w:rsid w:val="002D7219"/>
    <w:rsid w:val="002D7C4B"/>
    <w:rsid w:val="002E227A"/>
    <w:rsid w:val="002E2E51"/>
    <w:rsid w:val="002E5304"/>
    <w:rsid w:val="002E5AA5"/>
    <w:rsid w:val="002E6BC0"/>
    <w:rsid w:val="002E7370"/>
    <w:rsid w:val="002E7639"/>
    <w:rsid w:val="002E7C9D"/>
    <w:rsid w:val="002E7E4F"/>
    <w:rsid w:val="002F2B22"/>
    <w:rsid w:val="002F3959"/>
    <w:rsid w:val="002F5815"/>
    <w:rsid w:val="002F6EAB"/>
    <w:rsid w:val="002F73C7"/>
    <w:rsid w:val="003004EF"/>
    <w:rsid w:val="0030067F"/>
    <w:rsid w:val="00300F48"/>
    <w:rsid w:val="003017AC"/>
    <w:rsid w:val="00302235"/>
    <w:rsid w:val="003063CC"/>
    <w:rsid w:val="00306562"/>
    <w:rsid w:val="00307410"/>
    <w:rsid w:val="00310F8E"/>
    <w:rsid w:val="00314A95"/>
    <w:rsid w:val="0031598D"/>
    <w:rsid w:val="00321A63"/>
    <w:rsid w:val="0032214C"/>
    <w:rsid w:val="00322160"/>
    <w:rsid w:val="00322187"/>
    <w:rsid w:val="00322F07"/>
    <w:rsid w:val="00323CD7"/>
    <w:rsid w:val="00324404"/>
    <w:rsid w:val="0032660B"/>
    <w:rsid w:val="003315D8"/>
    <w:rsid w:val="0033273B"/>
    <w:rsid w:val="00333FB0"/>
    <w:rsid w:val="0033677F"/>
    <w:rsid w:val="00337586"/>
    <w:rsid w:val="00340EEE"/>
    <w:rsid w:val="003410C1"/>
    <w:rsid w:val="00341644"/>
    <w:rsid w:val="003420FA"/>
    <w:rsid w:val="00342468"/>
    <w:rsid w:val="00342C60"/>
    <w:rsid w:val="00343EC5"/>
    <w:rsid w:val="00346205"/>
    <w:rsid w:val="003470C1"/>
    <w:rsid w:val="0035072C"/>
    <w:rsid w:val="00351583"/>
    <w:rsid w:val="00351B94"/>
    <w:rsid w:val="00351BFA"/>
    <w:rsid w:val="003525BA"/>
    <w:rsid w:val="00352F28"/>
    <w:rsid w:val="00353BD6"/>
    <w:rsid w:val="00353E4D"/>
    <w:rsid w:val="00354DFB"/>
    <w:rsid w:val="00357C0B"/>
    <w:rsid w:val="00360106"/>
    <w:rsid w:val="003626E4"/>
    <w:rsid w:val="003630BA"/>
    <w:rsid w:val="003637CC"/>
    <w:rsid w:val="00365A32"/>
    <w:rsid w:val="00366F4B"/>
    <w:rsid w:val="00367ABE"/>
    <w:rsid w:val="003707F7"/>
    <w:rsid w:val="00370A93"/>
    <w:rsid w:val="00370E93"/>
    <w:rsid w:val="00373559"/>
    <w:rsid w:val="0037467E"/>
    <w:rsid w:val="003752AA"/>
    <w:rsid w:val="00380A73"/>
    <w:rsid w:val="00384335"/>
    <w:rsid w:val="0038462D"/>
    <w:rsid w:val="00384812"/>
    <w:rsid w:val="003865BA"/>
    <w:rsid w:val="00386841"/>
    <w:rsid w:val="00387429"/>
    <w:rsid w:val="00387544"/>
    <w:rsid w:val="003876D9"/>
    <w:rsid w:val="00387A07"/>
    <w:rsid w:val="00391342"/>
    <w:rsid w:val="003921B4"/>
    <w:rsid w:val="003928CC"/>
    <w:rsid w:val="003A0989"/>
    <w:rsid w:val="003A0DE4"/>
    <w:rsid w:val="003A29D8"/>
    <w:rsid w:val="003A2A8D"/>
    <w:rsid w:val="003A45DA"/>
    <w:rsid w:val="003A63C6"/>
    <w:rsid w:val="003A751B"/>
    <w:rsid w:val="003A770F"/>
    <w:rsid w:val="003A7ACB"/>
    <w:rsid w:val="003B08B8"/>
    <w:rsid w:val="003B12B9"/>
    <w:rsid w:val="003B1C98"/>
    <w:rsid w:val="003B1DB2"/>
    <w:rsid w:val="003B2C31"/>
    <w:rsid w:val="003B3D67"/>
    <w:rsid w:val="003B436E"/>
    <w:rsid w:val="003B5948"/>
    <w:rsid w:val="003B5A42"/>
    <w:rsid w:val="003B667B"/>
    <w:rsid w:val="003B6B7E"/>
    <w:rsid w:val="003B7710"/>
    <w:rsid w:val="003C2706"/>
    <w:rsid w:val="003C397E"/>
    <w:rsid w:val="003C3DB7"/>
    <w:rsid w:val="003C544D"/>
    <w:rsid w:val="003C6904"/>
    <w:rsid w:val="003C7840"/>
    <w:rsid w:val="003D1B3F"/>
    <w:rsid w:val="003D28EA"/>
    <w:rsid w:val="003D3980"/>
    <w:rsid w:val="003D3A6D"/>
    <w:rsid w:val="003D3AFC"/>
    <w:rsid w:val="003D4F69"/>
    <w:rsid w:val="003D511B"/>
    <w:rsid w:val="003E04E0"/>
    <w:rsid w:val="003E301E"/>
    <w:rsid w:val="003F1267"/>
    <w:rsid w:val="003F2F0B"/>
    <w:rsid w:val="003F5B31"/>
    <w:rsid w:val="003F7195"/>
    <w:rsid w:val="0040159E"/>
    <w:rsid w:val="004018B2"/>
    <w:rsid w:val="00402062"/>
    <w:rsid w:val="0040239A"/>
    <w:rsid w:val="00404091"/>
    <w:rsid w:val="004052AF"/>
    <w:rsid w:val="00405768"/>
    <w:rsid w:val="00405CEA"/>
    <w:rsid w:val="00405DD6"/>
    <w:rsid w:val="004108E7"/>
    <w:rsid w:val="00410F40"/>
    <w:rsid w:val="0041161C"/>
    <w:rsid w:val="00411B39"/>
    <w:rsid w:val="00412622"/>
    <w:rsid w:val="0041357D"/>
    <w:rsid w:val="004144AC"/>
    <w:rsid w:val="00415305"/>
    <w:rsid w:val="00415ED6"/>
    <w:rsid w:val="00416320"/>
    <w:rsid w:val="00416CFF"/>
    <w:rsid w:val="0042172B"/>
    <w:rsid w:val="00421EA6"/>
    <w:rsid w:val="00421FE5"/>
    <w:rsid w:val="00422D32"/>
    <w:rsid w:val="00424219"/>
    <w:rsid w:val="0042504B"/>
    <w:rsid w:val="00425AA4"/>
    <w:rsid w:val="004270B9"/>
    <w:rsid w:val="0042770C"/>
    <w:rsid w:val="00427827"/>
    <w:rsid w:val="00427B14"/>
    <w:rsid w:val="00427D9D"/>
    <w:rsid w:val="00427EB2"/>
    <w:rsid w:val="00431F26"/>
    <w:rsid w:val="0043212E"/>
    <w:rsid w:val="0043276C"/>
    <w:rsid w:val="00432BC1"/>
    <w:rsid w:val="00432DC1"/>
    <w:rsid w:val="004331B7"/>
    <w:rsid w:val="00433449"/>
    <w:rsid w:val="00436057"/>
    <w:rsid w:val="004365D8"/>
    <w:rsid w:val="00440754"/>
    <w:rsid w:val="0044335A"/>
    <w:rsid w:val="00443CB7"/>
    <w:rsid w:val="00444A53"/>
    <w:rsid w:val="00445791"/>
    <w:rsid w:val="00451573"/>
    <w:rsid w:val="0045161D"/>
    <w:rsid w:val="00452895"/>
    <w:rsid w:val="00452BF5"/>
    <w:rsid w:val="0045378E"/>
    <w:rsid w:val="004542EB"/>
    <w:rsid w:val="00454C33"/>
    <w:rsid w:val="004554B4"/>
    <w:rsid w:val="00455F86"/>
    <w:rsid w:val="00457BE0"/>
    <w:rsid w:val="00457C70"/>
    <w:rsid w:val="0046044C"/>
    <w:rsid w:val="0046047B"/>
    <w:rsid w:val="004605FA"/>
    <w:rsid w:val="00460CDE"/>
    <w:rsid w:val="004612A6"/>
    <w:rsid w:val="00461F78"/>
    <w:rsid w:val="004633AA"/>
    <w:rsid w:val="00463D16"/>
    <w:rsid w:val="00464D84"/>
    <w:rsid w:val="0046660B"/>
    <w:rsid w:val="0046751D"/>
    <w:rsid w:val="00467BD6"/>
    <w:rsid w:val="004721F4"/>
    <w:rsid w:val="00472249"/>
    <w:rsid w:val="004732D8"/>
    <w:rsid w:val="004736F7"/>
    <w:rsid w:val="00473CD9"/>
    <w:rsid w:val="00475FE5"/>
    <w:rsid w:val="004809BC"/>
    <w:rsid w:val="0048142B"/>
    <w:rsid w:val="0048185A"/>
    <w:rsid w:val="0048303E"/>
    <w:rsid w:val="00485F99"/>
    <w:rsid w:val="00486682"/>
    <w:rsid w:val="00486A32"/>
    <w:rsid w:val="00487476"/>
    <w:rsid w:val="004912AA"/>
    <w:rsid w:val="00491375"/>
    <w:rsid w:val="00491834"/>
    <w:rsid w:val="004925FE"/>
    <w:rsid w:val="00493FC7"/>
    <w:rsid w:val="00495386"/>
    <w:rsid w:val="00496820"/>
    <w:rsid w:val="00496C58"/>
    <w:rsid w:val="00497048"/>
    <w:rsid w:val="004A08AB"/>
    <w:rsid w:val="004A1561"/>
    <w:rsid w:val="004A1585"/>
    <w:rsid w:val="004A1BD3"/>
    <w:rsid w:val="004A1C28"/>
    <w:rsid w:val="004A1C55"/>
    <w:rsid w:val="004A2044"/>
    <w:rsid w:val="004A290B"/>
    <w:rsid w:val="004A295D"/>
    <w:rsid w:val="004A3398"/>
    <w:rsid w:val="004A375C"/>
    <w:rsid w:val="004A3D36"/>
    <w:rsid w:val="004A42E3"/>
    <w:rsid w:val="004A45F6"/>
    <w:rsid w:val="004A77C4"/>
    <w:rsid w:val="004B0BD6"/>
    <w:rsid w:val="004B3201"/>
    <w:rsid w:val="004B59EF"/>
    <w:rsid w:val="004C0048"/>
    <w:rsid w:val="004C1B03"/>
    <w:rsid w:val="004C5850"/>
    <w:rsid w:val="004C69D9"/>
    <w:rsid w:val="004D069E"/>
    <w:rsid w:val="004D18D7"/>
    <w:rsid w:val="004D1F72"/>
    <w:rsid w:val="004D2BC4"/>
    <w:rsid w:val="004D3746"/>
    <w:rsid w:val="004D401C"/>
    <w:rsid w:val="004D5364"/>
    <w:rsid w:val="004D57E1"/>
    <w:rsid w:val="004D6338"/>
    <w:rsid w:val="004D6A57"/>
    <w:rsid w:val="004D7206"/>
    <w:rsid w:val="004D725D"/>
    <w:rsid w:val="004E02B2"/>
    <w:rsid w:val="004E1897"/>
    <w:rsid w:val="004E1A88"/>
    <w:rsid w:val="004E1FE8"/>
    <w:rsid w:val="004E28C8"/>
    <w:rsid w:val="004E2CBC"/>
    <w:rsid w:val="004E57BA"/>
    <w:rsid w:val="004E69FF"/>
    <w:rsid w:val="004E7C07"/>
    <w:rsid w:val="004F0638"/>
    <w:rsid w:val="004F0D04"/>
    <w:rsid w:val="004F14C1"/>
    <w:rsid w:val="004F16DF"/>
    <w:rsid w:val="004F3FFD"/>
    <w:rsid w:val="004F40F5"/>
    <w:rsid w:val="004F504C"/>
    <w:rsid w:val="004F6E6B"/>
    <w:rsid w:val="00500D63"/>
    <w:rsid w:val="005023EF"/>
    <w:rsid w:val="005029A5"/>
    <w:rsid w:val="00504E19"/>
    <w:rsid w:val="005051B5"/>
    <w:rsid w:val="005074F7"/>
    <w:rsid w:val="00507DC5"/>
    <w:rsid w:val="0051007D"/>
    <w:rsid w:val="005110CE"/>
    <w:rsid w:val="0051172E"/>
    <w:rsid w:val="0051549F"/>
    <w:rsid w:val="005167BB"/>
    <w:rsid w:val="005216C7"/>
    <w:rsid w:val="00521B35"/>
    <w:rsid w:val="00522587"/>
    <w:rsid w:val="00524264"/>
    <w:rsid w:val="0052456D"/>
    <w:rsid w:val="00525A3F"/>
    <w:rsid w:val="00525BD0"/>
    <w:rsid w:val="0052616F"/>
    <w:rsid w:val="005265D8"/>
    <w:rsid w:val="00527B49"/>
    <w:rsid w:val="00530013"/>
    <w:rsid w:val="00530C46"/>
    <w:rsid w:val="00531866"/>
    <w:rsid w:val="00531A59"/>
    <w:rsid w:val="00532B32"/>
    <w:rsid w:val="00534C4B"/>
    <w:rsid w:val="00534FC8"/>
    <w:rsid w:val="005363FE"/>
    <w:rsid w:val="005377E8"/>
    <w:rsid w:val="00542E60"/>
    <w:rsid w:val="00544A57"/>
    <w:rsid w:val="00546465"/>
    <w:rsid w:val="005465AA"/>
    <w:rsid w:val="005502CB"/>
    <w:rsid w:val="00553636"/>
    <w:rsid w:val="00553814"/>
    <w:rsid w:val="0055386D"/>
    <w:rsid w:val="00555426"/>
    <w:rsid w:val="005562F7"/>
    <w:rsid w:val="005573AD"/>
    <w:rsid w:val="005607EA"/>
    <w:rsid w:val="005613AD"/>
    <w:rsid w:val="005618D8"/>
    <w:rsid w:val="0056251F"/>
    <w:rsid w:val="00563396"/>
    <w:rsid w:val="005633DD"/>
    <w:rsid w:val="00563609"/>
    <w:rsid w:val="00563D8C"/>
    <w:rsid w:val="00565DE1"/>
    <w:rsid w:val="0056689E"/>
    <w:rsid w:val="005673CD"/>
    <w:rsid w:val="005674D4"/>
    <w:rsid w:val="00570BB9"/>
    <w:rsid w:val="00572C40"/>
    <w:rsid w:val="00572D4D"/>
    <w:rsid w:val="00575547"/>
    <w:rsid w:val="00575E14"/>
    <w:rsid w:val="005767C1"/>
    <w:rsid w:val="00580206"/>
    <w:rsid w:val="00580A43"/>
    <w:rsid w:val="00581FD0"/>
    <w:rsid w:val="005821BD"/>
    <w:rsid w:val="00582AC0"/>
    <w:rsid w:val="0058375A"/>
    <w:rsid w:val="005838DD"/>
    <w:rsid w:val="00583E12"/>
    <w:rsid w:val="00583FB9"/>
    <w:rsid w:val="00586E5A"/>
    <w:rsid w:val="005878F5"/>
    <w:rsid w:val="0059085A"/>
    <w:rsid w:val="00590A79"/>
    <w:rsid w:val="005910B4"/>
    <w:rsid w:val="005918DD"/>
    <w:rsid w:val="00592942"/>
    <w:rsid w:val="00592BEB"/>
    <w:rsid w:val="00594E1B"/>
    <w:rsid w:val="00596805"/>
    <w:rsid w:val="005976EC"/>
    <w:rsid w:val="00597BE2"/>
    <w:rsid w:val="005A1550"/>
    <w:rsid w:val="005A2B7E"/>
    <w:rsid w:val="005A2FF8"/>
    <w:rsid w:val="005A3E39"/>
    <w:rsid w:val="005A478C"/>
    <w:rsid w:val="005A497D"/>
    <w:rsid w:val="005A5350"/>
    <w:rsid w:val="005A58FC"/>
    <w:rsid w:val="005A5EF5"/>
    <w:rsid w:val="005A6BB9"/>
    <w:rsid w:val="005A79E3"/>
    <w:rsid w:val="005B18EC"/>
    <w:rsid w:val="005B37AC"/>
    <w:rsid w:val="005B42BC"/>
    <w:rsid w:val="005B4E2A"/>
    <w:rsid w:val="005C0885"/>
    <w:rsid w:val="005C1FA0"/>
    <w:rsid w:val="005C2BBC"/>
    <w:rsid w:val="005C3069"/>
    <w:rsid w:val="005C3A18"/>
    <w:rsid w:val="005C3BD3"/>
    <w:rsid w:val="005C41C9"/>
    <w:rsid w:val="005C4C4F"/>
    <w:rsid w:val="005C6265"/>
    <w:rsid w:val="005C7DAA"/>
    <w:rsid w:val="005D0B43"/>
    <w:rsid w:val="005D0B5A"/>
    <w:rsid w:val="005D101D"/>
    <w:rsid w:val="005D18DF"/>
    <w:rsid w:val="005D3896"/>
    <w:rsid w:val="005D4E5A"/>
    <w:rsid w:val="005D5402"/>
    <w:rsid w:val="005D64E7"/>
    <w:rsid w:val="005D6619"/>
    <w:rsid w:val="005E1424"/>
    <w:rsid w:val="005E1722"/>
    <w:rsid w:val="005E1B9A"/>
    <w:rsid w:val="005E32E3"/>
    <w:rsid w:val="005E568C"/>
    <w:rsid w:val="005E6551"/>
    <w:rsid w:val="005E6ADE"/>
    <w:rsid w:val="005F3F81"/>
    <w:rsid w:val="005F589E"/>
    <w:rsid w:val="005F64C9"/>
    <w:rsid w:val="005F726C"/>
    <w:rsid w:val="006016CF"/>
    <w:rsid w:val="00602A62"/>
    <w:rsid w:val="00602DE1"/>
    <w:rsid w:val="00603C20"/>
    <w:rsid w:val="00603F8A"/>
    <w:rsid w:val="00604502"/>
    <w:rsid w:val="00606026"/>
    <w:rsid w:val="006067A2"/>
    <w:rsid w:val="00606D9E"/>
    <w:rsid w:val="0060705B"/>
    <w:rsid w:val="00610623"/>
    <w:rsid w:val="006120C0"/>
    <w:rsid w:val="006121FE"/>
    <w:rsid w:val="00612D7C"/>
    <w:rsid w:val="00613AA5"/>
    <w:rsid w:val="00615BCD"/>
    <w:rsid w:val="00616C56"/>
    <w:rsid w:val="00617059"/>
    <w:rsid w:val="00617308"/>
    <w:rsid w:val="00622EF4"/>
    <w:rsid w:val="0062356A"/>
    <w:rsid w:val="0062497C"/>
    <w:rsid w:val="00625A7C"/>
    <w:rsid w:val="00627195"/>
    <w:rsid w:val="006319AD"/>
    <w:rsid w:val="00631DE9"/>
    <w:rsid w:val="006324BE"/>
    <w:rsid w:val="006356B7"/>
    <w:rsid w:val="0063680A"/>
    <w:rsid w:val="006369B4"/>
    <w:rsid w:val="00636C87"/>
    <w:rsid w:val="00640C08"/>
    <w:rsid w:val="00640FE9"/>
    <w:rsid w:val="006412A4"/>
    <w:rsid w:val="00641568"/>
    <w:rsid w:val="00641B50"/>
    <w:rsid w:val="00642B68"/>
    <w:rsid w:val="0064353E"/>
    <w:rsid w:val="00647E7E"/>
    <w:rsid w:val="006502F3"/>
    <w:rsid w:val="00651A63"/>
    <w:rsid w:val="006520F8"/>
    <w:rsid w:val="006525C3"/>
    <w:rsid w:val="00653208"/>
    <w:rsid w:val="00653D34"/>
    <w:rsid w:val="006552E0"/>
    <w:rsid w:val="00657332"/>
    <w:rsid w:val="006575CA"/>
    <w:rsid w:val="00661588"/>
    <w:rsid w:val="00663837"/>
    <w:rsid w:val="0066423D"/>
    <w:rsid w:val="00664495"/>
    <w:rsid w:val="0066492F"/>
    <w:rsid w:val="00665C8D"/>
    <w:rsid w:val="0066763A"/>
    <w:rsid w:val="006703A5"/>
    <w:rsid w:val="0067181D"/>
    <w:rsid w:val="00671C7A"/>
    <w:rsid w:val="00671F74"/>
    <w:rsid w:val="0067399C"/>
    <w:rsid w:val="00676D25"/>
    <w:rsid w:val="00676F71"/>
    <w:rsid w:val="006805BC"/>
    <w:rsid w:val="006810E0"/>
    <w:rsid w:val="00682F2D"/>
    <w:rsid w:val="0068312D"/>
    <w:rsid w:val="00684BCB"/>
    <w:rsid w:val="00686CE0"/>
    <w:rsid w:val="00687559"/>
    <w:rsid w:val="00687DC9"/>
    <w:rsid w:val="00687DD6"/>
    <w:rsid w:val="00690924"/>
    <w:rsid w:val="00693E68"/>
    <w:rsid w:val="00694852"/>
    <w:rsid w:val="006950C9"/>
    <w:rsid w:val="006A28B1"/>
    <w:rsid w:val="006A3B46"/>
    <w:rsid w:val="006A4CF7"/>
    <w:rsid w:val="006A4E47"/>
    <w:rsid w:val="006A60B9"/>
    <w:rsid w:val="006A6677"/>
    <w:rsid w:val="006A6BA5"/>
    <w:rsid w:val="006A6D8C"/>
    <w:rsid w:val="006B195D"/>
    <w:rsid w:val="006B291A"/>
    <w:rsid w:val="006B3602"/>
    <w:rsid w:val="006B3C07"/>
    <w:rsid w:val="006B57EC"/>
    <w:rsid w:val="006B77C7"/>
    <w:rsid w:val="006C003E"/>
    <w:rsid w:val="006C275F"/>
    <w:rsid w:val="006C3858"/>
    <w:rsid w:val="006C79BC"/>
    <w:rsid w:val="006D15B1"/>
    <w:rsid w:val="006D2676"/>
    <w:rsid w:val="006D26A4"/>
    <w:rsid w:val="006D3983"/>
    <w:rsid w:val="006D4178"/>
    <w:rsid w:val="006D5916"/>
    <w:rsid w:val="006D5BAC"/>
    <w:rsid w:val="006D5F92"/>
    <w:rsid w:val="006D6EDA"/>
    <w:rsid w:val="006D7584"/>
    <w:rsid w:val="006E054A"/>
    <w:rsid w:val="006E17BF"/>
    <w:rsid w:val="006E239C"/>
    <w:rsid w:val="006E28E7"/>
    <w:rsid w:val="006E3171"/>
    <w:rsid w:val="006E3E37"/>
    <w:rsid w:val="006E4393"/>
    <w:rsid w:val="006E4625"/>
    <w:rsid w:val="006E4A35"/>
    <w:rsid w:val="006E6CD9"/>
    <w:rsid w:val="006E76B2"/>
    <w:rsid w:val="006F0212"/>
    <w:rsid w:val="006F0456"/>
    <w:rsid w:val="006F19CA"/>
    <w:rsid w:val="006F256F"/>
    <w:rsid w:val="006F3EC8"/>
    <w:rsid w:val="006F565E"/>
    <w:rsid w:val="006F66DE"/>
    <w:rsid w:val="006F68A2"/>
    <w:rsid w:val="006F6EC3"/>
    <w:rsid w:val="006F73E3"/>
    <w:rsid w:val="006F7C1D"/>
    <w:rsid w:val="006F7D8C"/>
    <w:rsid w:val="007006B5"/>
    <w:rsid w:val="00701F6A"/>
    <w:rsid w:val="007027E6"/>
    <w:rsid w:val="00702834"/>
    <w:rsid w:val="00702D02"/>
    <w:rsid w:val="00703752"/>
    <w:rsid w:val="007058A7"/>
    <w:rsid w:val="007059F1"/>
    <w:rsid w:val="00705D99"/>
    <w:rsid w:val="007063A5"/>
    <w:rsid w:val="00706894"/>
    <w:rsid w:val="00706A11"/>
    <w:rsid w:val="007070AA"/>
    <w:rsid w:val="00711F3A"/>
    <w:rsid w:val="007125EC"/>
    <w:rsid w:val="007143B3"/>
    <w:rsid w:val="00714DCE"/>
    <w:rsid w:val="0071789E"/>
    <w:rsid w:val="007224F8"/>
    <w:rsid w:val="0072406B"/>
    <w:rsid w:val="007261CB"/>
    <w:rsid w:val="00727C74"/>
    <w:rsid w:val="00730192"/>
    <w:rsid w:val="00730BCD"/>
    <w:rsid w:val="00731162"/>
    <w:rsid w:val="0073156E"/>
    <w:rsid w:val="00732DD0"/>
    <w:rsid w:val="00734389"/>
    <w:rsid w:val="00734BCB"/>
    <w:rsid w:val="00735DC1"/>
    <w:rsid w:val="00736EA5"/>
    <w:rsid w:val="0073772C"/>
    <w:rsid w:val="00737A9C"/>
    <w:rsid w:val="007417CE"/>
    <w:rsid w:val="00742034"/>
    <w:rsid w:val="00744CE3"/>
    <w:rsid w:val="0075071F"/>
    <w:rsid w:val="00752B29"/>
    <w:rsid w:val="007539B1"/>
    <w:rsid w:val="00753CF5"/>
    <w:rsid w:val="00754E87"/>
    <w:rsid w:val="00755313"/>
    <w:rsid w:val="00757B6B"/>
    <w:rsid w:val="007605C2"/>
    <w:rsid w:val="00760D64"/>
    <w:rsid w:val="007629D8"/>
    <w:rsid w:val="007639F6"/>
    <w:rsid w:val="00764188"/>
    <w:rsid w:val="007643D5"/>
    <w:rsid w:val="00764C74"/>
    <w:rsid w:val="007663CA"/>
    <w:rsid w:val="00766C5F"/>
    <w:rsid w:val="0076729C"/>
    <w:rsid w:val="00772814"/>
    <w:rsid w:val="007730FA"/>
    <w:rsid w:val="007738A6"/>
    <w:rsid w:val="00775346"/>
    <w:rsid w:val="00776A88"/>
    <w:rsid w:val="007770F9"/>
    <w:rsid w:val="00777331"/>
    <w:rsid w:val="00777680"/>
    <w:rsid w:val="00780FA1"/>
    <w:rsid w:val="00783452"/>
    <w:rsid w:val="007834FD"/>
    <w:rsid w:val="00783DD6"/>
    <w:rsid w:val="00784B6E"/>
    <w:rsid w:val="00784B70"/>
    <w:rsid w:val="0078696C"/>
    <w:rsid w:val="00791456"/>
    <w:rsid w:val="00792033"/>
    <w:rsid w:val="007927FB"/>
    <w:rsid w:val="00792A48"/>
    <w:rsid w:val="0079368E"/>
    <w:rsid w:val="00793AFB"/>
    <w:rsid w:val="00794397"/>
    <w:rsid w:val="00794F89"/>
    <w:rsid w:val="0079580F"/>
    <w:rsid w:val="00796764"/>
    <w:rsid w:val="00796C0E"/>
    <w:rsid w:val="00796C5F"/>
    <w:rsid w:val="007A241B"/>
    <w:rsid w:val="007A5CE7"/>
    <w:rsid w:val="007A75ED"/>
    <w:rsid w:val="007A79E6"/>
    <w:rsid w:val="007B0257"/>
    <w:rsid w:val="007B1248"/>
    <w:rsid w:val="007B33AE"/>
    <w:rsid w:val="007B3442"/>
    <w:rsid w:val="007B4422"/>
    <w:rsid w:val="007B7F6A"/>
    <w:rsid w:val="007C0AC9"/>
    <w:rsid w:val="007C15C2"/>
    <w:rsid w:val="007C3EFD"/>
    <w:rsid w:val="007C3F20"/>
    <w:rsid w:val="007C4798"/>
    <w:rsid w:val="007C47D9"/>
    <w:rsid w:val="007C4A8B"/>
    <w:rsid w:val="007C65CC"/>
    <w:rsid w:val="007C6812"/>
    <w:rsid w:val="007C6A99"/>
    <w:rsid w:val="007D0927"/>
    <w:rsid w:val="007D0C4F"/>
    <w:rsid w:val="007D1A41"/>
    <w:rsid w:val="007D2D7D"/>
    <w:rsid w:val="007D2DCC"/>
    <w:rsid w:val="007D3323"/>
    <w:rsid w:val="007D57FE"/>
    <w:rsid w:val="007D6653"/>
    <w:rsid w:val="007D75E5"/>
    <w:rsid w:val="007E157C"/>
    <w:rsid w:val="007E1709"/>
    <w:rsid w:val="007E2B23"/>
    <w:rsid w:val="007E7A94"/>
    <w:rsid w:val="007E7B72"/>
    <w:rsid w:val="007E7B76"/>
    <w:rsid w:val="007F0288"/>
    <w:rsid w:val="007F0F8D"/>
    <w:rsid w:val="007F1A66"/>
    <w:rsid w:val="007F2F5C"/>
    <w:rsid w:val="007F30FC"/>
    <w:rsid w:val="007F43BD"/>
    <w:rsid w:val="007F5F80"/>
    <w:rsid w:val="007F6050"/>
    <w:rsid w:val="007F69DC"/>
    <w:rsid w:val="008018A0"/>
    <w:rsid w:val="00802950"/>
    <w:rsid w:val="00803E55"/>
    <w:rsid w:val="00803F1E"/>
    <w:rsid w:val="00804707"/>
    <w:rsid w:val="00804E1A"/>
    <w:rsid w:val="0080536C"/>
    <w:rsid w:val="00805A4F"/>
    <w:rsid w:val="00805E89"/>
    <w:rsid w:val="00807158"/>
    <w:rsid w:val="008122D4"/>
    <w:rsid w:val="008135AD"/>
    <w:rsid w:val="00813D17"/>
    <w:rsid w:val="00814A5E"/>
    <w:rsid w:val="00816746"/>
    <w:rsid w:val="0082061C"/>
    <w:rsid w:val="00820B13"/>
    <w:rsid w:val="00820DBE"/>
    <w:rsid w:val="008224AD"/>
    <w:rsid w:val="008228EB"/>
    <w:rsid w:val="008241CA"/>
    <w:rsid w:val="00826DC8"/>
    <w:rsid w:val="008270C9"/>
    <w:rsid w:val="00827B3A"/>
    <w:rsid w:val="0083006F"/>
    <w:rsid w:val="00830D37"/>
    <w:rsid w:val="00831B26"/>
    <w:rsid w:val="008320C8"/>
    <w:rsid w:val="00832FEB"/>
    <w:rsid w:val="008339C2"/>
    <w:rsid w:val="00834457"/>
    <w:rsid w:val="00834771"/>
    <w:rsid w:val="008349D0"/>
    <w:rsid w:val="00834ECD"/>
    <w:rsid w:val="00835E75"/>
    <w:rsid w:val="008363D8"/>
    <w:rsid w:val="00837180"/>
    <w:rsid w:val="0083725A"/>
    <w:rsid w:val="0083785A"/>
    <w:rsid w:val="00837A2C"/>
    <w:rsid w:val="00837D13"/>
    <w:rsid w:val="00837F77"/>
    <w:rsid w:val="00841378"/>
    <w:rsid w:val="008437F4"/>
    <w:rsid w:val="008438B9"/>
    <w:rsid w:val="00844E28"/>
    <w:rsid w:val="00845B5F"/>
    <w:rsid w:val="00846AD5"/>
    <w:rsid w:val="008506D1"/>
    <w:rsid w:val="00850EC2"/>
    <w:rsid w:val="00851933"/>
    <w:rsid w:val="00851D14"/>
    <w:rsid w:val="00852871"/>
    <w:rsid w:val="00852AEB"/>
    <w:rsid w:val="00856A3F"/>
    <w:rsid w:val="008576E3"/>
    <w:rsid w:val="00857EAA"/>
    <w:rsid w:val="00860FAA"/>
    <w:rsid w:val="008617F2"/>
    <w:rsid w:val="0086189C"/>
    <w:rsid w:val="00863B32"/>
    <w:rsid w:val="00863F2D"/>
    <w:rsid w:val="0086420C"/>
    <w:rsid w:val="008659E2"/>
    <w:rsid w:val="00865DA9"/>
    <w:rsid w:val="00866A98"/>
    <w:rsid w:val="00866D71"/>
    <w:rsid w:val="008708EE"/>
    <w:rsid w:val="0087252B"/>
    <w:rsid w:val="00872BAB"/>
    <w:rsid w:val="00873252"/>
    <w:rsid w:val="008744A6"/>
    <w:rsid w:val="0087578F"/>
    <w:rsid w:val="008769A2"/>
    <w:rsid w:val="00876CDA"/>
    <w:rsid w:val="00876D0F"/>
    <w:rsid w:val="00877D22"/>
    <w:rsid w:val="00880A9E"/>
    <w:rsid w:val="008818FD"/>
    <w:rsid w:val="00882797"/>
    <w:rsid w:val="0088330A"/>
    <w:rsid w:val="00885976"/>
    <w:rsid w:val="0088798D"/>
    <w:rsid w:val="00887EDD"/>
    <w:rsid w:val="00887FF9"/>
    <w:rsid w:val="0089151D"/>
    <w:rsid w:val="00891811"/>
    <w:rsid w:val="0089301C"/>
    <w:rsid w:val="00895C13"/>
    <w:rsid w:val="008A200E"/>
    <w:rsid w:val="008A296B"/>
    <w:rsid w:val="008A29FB"/>
    <w:rsid w:val="008A48FC"/>
    <w:rsid w:val="008A5765"/>
    <w:rsid w:val="008B0B70"/>
    <w:rsid w:val="008B191A"/>
    <w:rsid w:val="008B23AE"/>
    <w:rsid w:val="008B2958"/>
    <w:rsid w:val="008C0F68"/>
    <w:rsid w:val="008C1BDE"/>
    <w:rsid w:val="008C1C6C"/>
    <w:rsid w:val="008C253D"/>
    <w:rsid w:val="008C2DE7"/>
    <w:rsid w:val="008C5516"/>
    <w:rsid w:val="008C60A2"/>
    <w:rsid w:val="008C6B71"/>
    <w:rsid w:val="008D17A3"/>
    <w:rsid w:val="008D2898"/>
    <w:rsid w:val="008D2EA3"/>
    <w:rsid w:val="008D31EB"/>
    <w:rsid w:val="008D6919"/>
    <w:rsid w:val="008D6D12"/>
    <w:rsid w:val="008D7EFE"/>
    <w:rsid w:val="008E01AD"/>
    <w:rsid w:val="008E2971"/>
    <w:rsid w:val="008E2AF7"/>
    <w:rsid w:val="008E2D9D"/>
    <w:rsid w:val="008E7E0D"/>
    <w:rsid w:val="008F0E5B"/>
    <w:rsid w:val="008F1421"/>
    <w:rsid w:val="008F2385"/>
    <w:rsid w:val="008F404A"/>
    <w:rsid w:val="008F46E6"/>
    <w:rsid w:val="008F60C3"/>
    <w:rsid w:val="00900049"/>
    <w:rsid w:val="009016E0"/>
    <w:rsid w:val="0090223E"/>
    <w:rsid w:val="00902A5B"/>
    <w:rsid w:val="00903C2E"/>
    <w:rsid w:val="00907F29"/>
    <w:rsid w:val="00910DD2"/>
    <w:rsid w:val="00912192"/>
    <w:rsid w:val="00912997"/>
    <w:rsid w:val="009133EE"/>
    <w:rsid w:val="009139D9"/>
    <w:rsid w:val="00913DFB"/>
    <w:rsid w:val="009140AE"/>
    <w:rsid w:val="00914A2F"/>
    <w:rsid w:val="00914B94"/>
    <w:rsid w:val="00915DCE"/>
    <w:rsid w:val="00916121"/>
    <w:rsid w:val="00922056"/>
    <w:rsid w:val="0092379B"/>
    <w:rsid w:val="00925268"/>
    <w:rsid w:val="00926FF2"/>
    <w:rsid w:val="00930DEE"/>
    <w:rsid w:val="009318EB"/>
    <w:rsid w:val="00933CCE"/>
    <w:rsid w:val="00935BDE"/>
    <w:rsid w:val="009409EA"/>
    <w:rsid w:val="00940D19"/>
    <w:rsid w:val="0094175B"/>
    <w:rsid w:val="00941C90"/>
    <w:rsid w:val="00941CCD"/>
    <w:rsid w:val="0094352E"/>
    <w:rsid w:val="0094390C"/>
    <w:rsid w:val="009446B4"/>
    <w:rsid w:val="009447AA"/>
    <w:rsid w:val="009457D7"/>
    <w:rsid w:val="009467C8"/>
    <w:rsid w:val="00946DDC"/>
    <w:rsid w:val="00950C71"/>
    <w:rsid w:val="00951E17"/>
    <w:rsid w:val="009555D0"/>
    <w:rsid w:val="00955AE2"/>
    <w:rsid w:val="0095716A"/>
    <w:rsid w:val="009574AF"/>
    <w:rsid w:val="00957BAE"/>
    <w:rsid w:val="00963AA9"/>
    <w:rsid w:val="00964D4B"/>
    <w:rsid w:val="00965D75"/>
    <w:rsid w:val="0096635D"/>
    <w:rsid w:val="0096730C"/>
    <w:rsid w:val="009701C6"/>
    <w:rsid w:val="009706FF"/>
    <w:rsid w:val="009714D2"/>
    <w:rsid w:val="0097285A"/>
    <w:rsid w:val="00972FFE"/>
    <w:rsid w:val="00973E4C"/>
    <w:rsid w:val="00975E1A"/>
    <w:rsid w:val="00977973"/>
    <w:rsid w:val="0098049D"/>
    <w:rsid w:val="00981D77"/>
    <w:rsid w:val="009839A0"/>
    <w:rsid w:val="00983DBE"/>
    <w:rsid w:val="00983E96"/>
    <w:rsid w:val="00984CF8"/>
    <w:rsid w:val="00985422"/>
    <w:rsid w:val="009855B4"/>
    <w:rsid w:val="00987459"/>
    <w:rsid w:val="00990ABA"/>
    <w:rsid w:val="00991867"/>
    <w:rsid w:val="00992A00"/>
    <w:rsid w:val="0099333A"/>
    <w:rsid w:val="00997154"/>
    <w:rsid w:val="00997216"/>
    <w:rsid w:val="00997C42"/>
    <w:rsid w:val="009A3084"/>
    <w:rsid w:val="009A39EA"/>
    <w:rsid w:val="009A4B6F"/>
    <w:rsid w:val="009A4E8F"/>
    <w:rsid w:val="009A51DA"/>
    <w:rsid w:val="009A7611"/>
    <w:rsid w:val="009A7A7C"/>
    <w:rsid w:val="009B01F3"/>
    <w:rsid w:val="009B0C6F"/>
    <w:rsid w:val="009B33DE"/>
    <w:rsid w:val="009B41BC"/>
    <w:rsid w:val="009B4776"/>
    <w:rsid w:val="009B69C4"/>
    <w:rsid w:val="009B74AD"/>
    <w:rsid w:val="009C22A2"/>
    <w:rsid w:val="009C2BBC"/>
    <w:rsid w:val="009C2FF4"/>
    <w:rsid w:val="009C3CB3"/>
    <w:rsid w:val="009C41FB"/>
    <w:rsid w:val="009C6200"/>
    <w:rsid w:val="009C715C"/>
    <w:rsid w:val="009C7CC6"/>
    <w:rsid w:val="009D05A0"/>
    <w:rsid w:val="009D1177"/>
    <w:rsid w:val="009D30E3"/>
    <w:rsid w:val="009D3D34"/>
    <w:rsid w:val="009D3FDC"/>
    <w:rsid w:val="009D6E2A"/>
    <w:rsid w:val="009D73CA"/>
    <w:rsid w:val="009D7855"/>
    <w:rsid w:val="009E1027"/>
    <w:rsid w:val="009E1724"/>
    <w:rsid w:val="009E7352"/>
    <w:rsid w:val="009F122F"/>
    <w:rsid w:val="009F3FA8"/>
    <w:rsid w:val="009F4426"/>
    <w:rsid w:val="009F4686"/>
    <w:rsid w:val="009F5763"/>
    <w:rsid w:val="009F589F"/>
    <w:rsid w:val="009F6CBC"/>
    <w:rsid w:val="009F6D56"/>
    <w:rsid w:val="009F6FA3"/>
    <w:rsid w:val="009F6FFB"/>
    <w:rsid w:val="009F7151"/>
    <w:rsid w:val="009F728F"/>
    <w:rsid w:val="00A00BD7"/>
    <w:rsid w:val="00A0265E"/>
    <w:rsid w:val="00A07063"/>
    <w:rsid w:val="00A07AF7"/>
    <w:rsid w:val="00A108F3"/>
    <w:rsid w:val="00A10CAD"/>
    <w:rsid w:val="00A11D3D"/>
    <w:rsid w:val="00A1265B"/>
    <w:rsid w:val="00A12C5F"/>
    <w:rsid w:val="00A13E66"/>
    <w:rsid w:val="00A1577F"/>
    <w:rsid w:val="00A17545"/>
    <w:rsid w:val="00A17CDE"/>
    <w:rsid w:val="00A211AF"/>
    <w:rsid w:val="00A213EE"/>
    <w:rsid w:val="00A21DD8"/>
    <w:rsid w:val="00A21FC0"/>
    <w:rsid w:val="00A23480"/>
    <w:rsid w:val="00A235A9"/>
    <w:rsid w:val="00A23917"/>
    <w:rsid w:val="00A24B53"/>
    <w:rsid w:val="00A25527"/>
    <w:rsid w:val="00A25640"/>
    <w:rsid w:val="00A2643C"/>
    <w:rsid w:val="00A272DF"/>
    <w:rsid w:val="00A27CCF"/>
    <w:rsid w:val="00A30D7A"/>
    <w:rsid w:val="00A31172"/>
    <w:rsid w:val="00A312C9"/>
    <w:rsid w:val="00A31BB2"/>
    <w:rsid w:val="00A32175"/>
    <w:rsid w:val="00A335B6"/>
    <w:rsid w:val="00A336E1"/>
    <w:rsid w:val="00A33815"/>
    <w:rsid w:val="00A35819"/>
    <w:rsid w:val="00A37C75"/>
    <w:rsid w:val="00A37FD9"/>
    <w:rsid w:val="00A400B2"/>
    <w:rsid w:val="00A40878"/>
    <w:rsid w:val="00A41799"/>
    <w:rsid w:val="00A419AF"/>
    <w:rsid w:val="00A41F28"/>
    <w:rsid w:val="00A43457"/>
    <w:rsid w:val="00A43C0E"/>
    <w:rsid w:val="00A44E0E"/>
    <w:rsid w:val="00A455A9"/>
    <w:rsid w:val="00A476BF"/>
    <w:rsid w:val="00A47CD1"/>
    <w:rsid w:val="00A5048F"/>
    <w:rsid w:val="00A504A7"/>
    <w:rsid w:val="00A51645"/>
    <w:rsid w:val="00A52083"/>
    <w:rsid w:val="00A520BD"/>
    <w:rsid w:val="00A53D36"/>
    <w:rsid w:val="00A53E66"/>
    <w:rsid w:val="00A5463E"/>
    <w:rsid w:val="00A54EED"/>
    <w:rsid w:val="00A56908"/>
    <w:rsid w:val="00A56CE9"/>
    <w:rsid w:val="00A572B1"/>
    <w:rsid w:val="00A609D7"/>
    <w:rsid w:val="00A60EB3"/>
    <w:rsid w:val="00A61A17"/>
    <w:rsid w:val="00A62D84"/>
    <w:rsid w:val="00A6367A"/>
    <w:rsid w:val="00A6370A"/>
    <w:rsid w:val="00A63DC6"/>
    <w:rsid w:val="00A64818"/>
    <w:rsid w:val="00A65476"/>
    <w:rsid w:val="00A6647E"/>
    <w:rsid w:val="00A6740A"/>
    <w:rsid w:val="00A73779"/>
    <w:rsid w:val="00A74950"/>
    <w:rsid w:val="00A752B0"/>
    <w:rsid w:val="00A76BED"/>
    <w:rsid w:val="00A82321"/>
    <w:rsid w:val="00A829C9"/>
    <w:rsid w:val="00A8473D"/>
    <w:rsid w:val="00A86150"/>
    <w:rsid w:val="00A87CFA"/>
    <w:rsid w:val="00A915A0"/>
    <w:rsid w:val="00A921D3"/>
    <w:rsid w:val="00A9248F"/>
    <w:rsid w:val="00A92683"/>
    <w:rsid w:val="00A94036"/>
    <w:rsid w:val="00A946CD"/>
    <w:rsid w:val="00A94810"/>
    <w:rsid w:val="00A9530B"/>
    <w:rsid w:val="00A9667C"/>
    <w:rsid w:val="00A96A7B"/>
    <w:rsid w:val="00A9755F"/>
    <w:rsid w:val="00AA2C34"/>
    <w:rsid w:val="00AA3684"/>
    <w:rsid w:val="00AA4C46"/>
    <w:rsid w:val="00AA527F"/>
    <w:rsid w:val="00AA63FD"/>
    <w:rsid w:val="00AA6546"/>
    <w:rsid w:val="00AA72BD"/>
    <w:rsid w:val="00AA7416"/>
    <w:rsid w:val="00AB3ED3"/>
    <w:rsid w:val="00AB4876"/>
    <w:rsid w:val="00AB69E5"/>
    <w:rsid w:val="00AC13DF"/>
    <w:rsid w:val="00AC1A6C"/>
    <w:rsid w:val="00AC1CE0"/>
    <w:rsid w:val="00AC4030"/>
    <w:rsid w:val="00AC51CB"/>
    <w:rsid w:val="00AC5C1D"/>
    <w:rsid w:val="00AC6E88"/>
    <w:rsid w:val="00AC706F"/>
    <w:rsid w:val="00AC7BC7"/>
    <w:rsid w:val="00AD16F2"/>
    <w:rsid w:val="00AD1CFF"/>
    <w:rsid w:val="00AD37D1"/>
    <w:rsid w:val="00AD4421"/>
    <w:rsid w:val="00AD4BD5"/>
    <w:rsid w:val="00AD4D38"/>
    <w:rsid w:val="00AD6122"/>
    <w:rsid w:val="00AD653B"/>
    <w:rsid w:val="00AD68DF"/>
    <w:rsid w:val="00AD6CF7"/>
    <w:rsid w:val="00AE4898"/>
    <w:rsid w:val="00AE505C"/>
    <w:rsid w:val="00AE6155"/>
    <w:rsid w:val="00AE69A4"/>
    <w:rsid w:val="00AE6EDD"/>
    <w:rsid w:val="00AE7151"/>
    <w:rsid w:val="00AF1A78"/>
    <w:rsid w:val="00AF32B0"/>
    <w:rsid w:val="00AF33E7"/>
    <w:rsid w:val="00AF3766"/>
    <w:rsid w:val="00AF65FF"/>
    <w:rsid w:val="00AF7A73"/>
    <w:rsid w:val="00B004AE"/>
    <w:rsid w:val="00B005DB"/>
    <w:rsid w:val="00B0125C"/>
    <w:rsid w:val="00B01FF0"/>
    <w:rsid w:val="00B02836"/>
    <w:rsid w:val="00B02D8C"/>
    <w:rsid w:val="00B03E12"/>
    <w:rsid w:val="00B0415D"/>
    <w:rsid w:val="00B058A1"/>
    <w:rsid w:val="00B077A2"/>
    <w:rsid w:val="00B07CE4"/>
    <w:rsid w:val="00B1222C"/>
    <w:rsid w:val="00B124B7"/>
    <w:rsid w:val="00B1445A"/>
    <w:rsid w:val="00B14583"/>
    <w:rsid w:val="00B15DAE"/>
    <w:rsid w:val="00B162B7"/>
    <w:rsid w:val="00B165F1"/>
    <w:rsid w:val="00B17AA3"/>
    <w:rsid w:val="00B21B55"/>
    <w:rsid w:val="00B2495A"/>
    <w:rsid w:val="00B2502E"/>
    <w:rsid w:val="00B26AFA"/>
    <w:rsid w:val="00B27BA6"/>
    <w:rsid w:val="00B32B60"/>
    <w:rsid w:val="00B3422C"/>
    <w:rsid w:val="00B34B76"/>
    <w:rsid w:val="00B367E3"/>
    <w:rsid w:val="00B37118"/>
    <w:rsid w:val="00B3774E"/>
    <w:rsid w:val="00B37C1B"/>
    <w:rsid w:val="00B40DF6"/>
    <w:rsid w:val="00B4199A"/>
    <w:rsid w:val="00B426F2"/>
    <w:rsid w:val="00B4527B"/>
    <w:rsid w:val="00B46D1D"/>
    <w:rsid w:val="00B46F7F"/>
    <w:rsid w:val="00B5249A"/>
    <w:rsid w:val="00B5308F"/>
    <w:rsid w:val="00B53C68"/>
    <w:rsid w:val="00B551D5"/>
    <w:rsid w:val="00B55DFB"/>
    <w:rsid w:val="00B56F8F"/>
    <w:rsid w:val="00B57DE8"/>
    <w:rsid w:val="00B60F12"/>
    <w:rsid w:val="00B618C2"/>
    <w:rsid w:val="00B63BEC"/>
    <w:rsid w:val="00B64589"/>
    <w:rsid w:val="00B64700"/>
    <w:rsid w:val="00B65CB7"/>
    <w:rsid w:val="00B67DF3"/>
    <w:rsid w:val="00B70AD7"/>
    <w:rsid w:val="00B715ED"/>
    <w:rsid w:val="00B72C90"/>
    <w:rsid w:val="00B72F50"/>
    <w:rsid w:val="00B73C9B"/>
    <w:rsid w:val="00B73F82"/>
    <w:rsid w:val="00B75933"/>
    <w:rsid w:val="00B76AAC"/>
    <w:rsid w:val="00B8040C"/>
    <w:rsid w:val="00B80CF2"/>
    <w:rsid w:val="00B856A1"/>
    <w:rsid w:val="00B86011"/>
    <w:rsid w:val="00B86E5B"/>
    <w:rsid w:val="00B87E62"/>
    <w:rsid w:val="00B93422"/>
    <w:rsid w:val="00B952D8"/>
    <w:rsid w:val="00B96044"/>
    <w:rsid w:val="00B97D49"/>
    <w:rsid w:val="00BA1062"/>
    <w:rsid w:val="00BA12FE"/>
    <w:rsid w:val="00BA1864"/>
    <w:rsid w:val="00BA511E"/>
    <w:rsid w:val="00BB240E"/>
    <w:rsid w:val="00BB3001"/>
    <w:rsid w:val="00BB54B2"/>
    <w:rsid w:val="00BB55CB"/>
    <w:rsid w:val="00BB55F4"/>
    <w:rsid w:val="00BB571E"/>
    <w:rsid w:val="00BB6F63"/>
    <w:rsid w:val="00BB79BF"/>
    <w:rsid w:val="00BC00FA"/>
    <w:rsid w:val="00BC0407"/>
    <w:rsid w:val="00BC058C"/>
    <w:rsid w:val="00BC0C77"/>
    <w:rsid w:val="00BC13C2"/>
    <w:rsid w:val="00BC19DB"/>
    <w:rsid w:val="00BC37F4"/>
    <w:rsid w:val="00BC4DD6"/>
    <w:rsid w:val="00BC63BF"/>
    <w:rsid w:val="00BC6E78"/>
    <w:rsid w:val="00BD1F6F"/>
    <w:rsid w:val="00BD2549"/>
    <w:rsid w:val="00BD40FB"/>
    <w:rsid w:val="00BD6840"/>
    <w:rsid w:val="00BD76E5"/>
    <w:rsid w:val="00BE0520"/>
    <w:rsid w:val="00BE0848"/>
    <w:rsid w:val="00BE17E0"/>
    <w:rsid w:val="00BE1FF1"/>
    <w:rsid w:val="00BE2118"/>
    <w:rsid w:val="00BE3293"/>
    <w:rsid w:val="00BE3853"/>
    <w:rsid w:val="00BE3933"/>
    <w:rsid w:val="00BE51DF"/>
    <w:rsid w:val="00BE639F"/>
    <w:rsid w:val="00BE64D7"/>
    <w:rsid w:val="00BE716B"/>
    <w:rsid w:val="00BF101B"/>
    <w:rsid w:val="00BF1028"/>
    <w:rsid w:val="00BF115F"/>
    <w:rsid w:val="00BF2A72"/>
    <w:rsid w:val="00BF3B40"/>
    <w:rsid w:val="00BF3B50"/>
    <w:rsid w:val="00BF4177"/>
    <w:rsid w:val="00BF6C6E"/>
    <w:rsid w:val="00BF72E6"/>
    <w:rsid w:val="00BF793C"/>
    <w:rsid w:val="00C01975"/>
    <w:rsid w:val="00C02310"/>
    <w:rsid w:val="00C03CFE"/>
    <w:rsid w:val="00C048E1"/>
    <w:rsid w:val="00C05F5A"/>
    <w:rsid w:val="00C070A0"/>
    <w:rsid w:val="00C07890"/>
    <w:rsid w:val="00C07B97"/>
    <w:rsid w:val="00C10A39"/>
    <w:rsid w:val="00C11B8A"/>
    <w:rsid w:val="00C12015"/>
    <w:rsid w:val="00C12881"/>
    <w:rsid w:val="00C12BF2"/>
    <w:rsid w:val="00C12DF8"/>
    <w:rsid w:val="00C15968"/>
    <w:rsid w:val="00C163D8"/>
    <w:rsid w:val="00C16D1F"/>
    <w:rsid w:val="00C176C5"/>
    <w:rsid w:val="00C17CD0"/>
    <w:rsid w:val="00C2107C"/>
    <w:rsid w:val="00C211F6"/>
    <w:rsid w:val="00C21C6C"/>
    <w:rsid w:val="00C21DAA"/>
    <w:rsid w:val="00C2263E"/>
    <w:rsid w:val="00C232E8"/>
    <w:rsid w:val="00C24BBD"/>
    <w:rsid w:val="00C24E2F"/>
    <w:rsid w:val="00C2544D"/>
    <w:rsid w:val="00C276F4"/>
    <w:rsid w:val="00C30271"/>
    <w:rsid w:val="00C304C1"/>
    <w:rsid w:val="00C31A54"/>
    <w:rsid w:val="00C32C9B"/>
    <w:rsid w:val="00C331D7"/>
    <w:rsid w:val="00C33E5B"/>
    <w:rsid w:val="00C34A3E"/>
    <w:rsid w:val="00C34A4A"/>
    <w:rsid w:val="00C376AD"/>
    <w:rsid w:val="00C4106F"/>
    <w:rsid w:val="00C427A9"/>
    <w:rsid w:val="00C427B9"/>
    <w:rsid w:val="00C42CE7"/>
    <w:rsid w:val="00C44019"/>
    <w:rsid w:val="00C44F29"/>
    <w:rsid w:val="00C452C4"/>
    <w:rsid w:val="00C4542C"/>
    <w:rsid w:val="00C50230"/>
    <w:rsid w:val="00C504A5"/>
    <w:rsid w:val="00C509BA"/>
    <w:rsid w:val="00C5297E"/>
    <w:rsid w:val="00C52C09"/>
    <w:rsid w:val="00C5311D"/>
    <w:rsid w:val="00C531EB"/>
    <w:rsid w:val="00C53858"/>
    <w:rsid w:val="00C53E2D"/>
    <w:rsid w:val="00C56B10"/>
    <w:rsid w:val="00C5707C"/>
    <w:rsid w:val="00C571D0"/>
    <w:rsid w:val="00C57765"/>
    <w:rsid w:val="00C607EC"/>
    <w:rsid w:val="00C611D9"/>
    <w:rsid w:val="00C61EE4"/>
    <w:rsid w:val="00C62355"/>
    <w:rsid w:val="00C627C5"/>
    <w:rsid w:val="00C62C53"/>
    <w:rsid w:val="00C62CF3"/>
    <w:rsid w:val="00C63670"/>
    <w:rsid w:val="00C637B7"/>
    <w:rsid w:val="00C63995"/>
    <w:rsid w:val="00C64C0D"/>
    <w:rsid w:val="00C65B4F"/>
    <w:rsid w:val="00C66A80"/>
    <w:rsid w:val="00C66AB0"/>
    <w:rsid w:val="00C66E7D"/>
    <w:rsid w:val="00C7025B"/>
    <w:rsid w:val="00C7065C"/>
    <w:rsid w:val="00C7225C"/>
    <w:rsid w:val="00C727A0"/>
    <w:rsid w:val="00C73B21"/>
    <w:rsid w:val="00C746F7"/>
    <w:rsid w:val="00C748BD"/>
    <w:rsid w:val="00C75173"/>
    <w:rsid w:val="00C755E3"/>
    <w:rsid w:val="00C80C52"/>
    <w:rsid w:val="00C8170B"/>
    <w:rsid w:val="00C821BC"/>
    <w:rsid w:val="00C83C9D"/>
    <w:rsid w:val="00C83E94"/>
    <w:rsid w:val="00C9001E"/>
    <w:rsid w:val="00C928E4"/>
    <w:rsid w:val="00C930D1"/>
    <w:rsid w:val="00C9648E"/>
    <w:rsid w:val="00C96C87"/>
    <w:rsid w:val="00C975BC"/>
    <w:rsid w:val="00CA09CD"/>
    <w:rsid w:val="00CA22CD"/>
    <w:rsid w:val="00CA2FA7"/>
    <w:rsid w:val="00CA2FFF"/>
    <w:rsid w:val="00CA32AC"/>
    <w:rsid w:val="00CA3C78"/>
    <w:rsid w:val="00CA481E"/>
    <w:rsid w:val="00CA4D25"/>
    <w:rsid w:val="00CA5BBE"/>
    <w:rsid w:val="00CA608B"/>
    <w:rsid w:val="00CA6919"/>
    <w:rsid w:val="00CA6DAC"/>
    <w:rsid w:val="00CA71AE"/>
    <w:rsid w:val="00CA78B4"/>
    <w:rsid w:val="00CB1AAE"/>
    <w:rsid w:val="00CB23E9"/>
    <w:rsid w:val="00CB2F9F"/>
    <w:rsid w:val="00CB6009"/>
    <w:rsid w:val="00CB6628"/>
    <w:rsid w:val="00CB7474"/>
    <w:rsid w:val="00CC0D6A"/>
    <w:rsid w:val="00CC1B43"/>
    <w:rsid w:val="00CC215D"/>
    <w:rsid w:val="00CC3C8B"/>
    <w:rsid w:val="00CC3E84"/>
    <w:rsid w:val="00CC3F7E"/>
    <w:rsid w:val="00CC55D8"/>
    <w:rsid w:val="00CC6756"/>
    <w:rsid w:val="00CC6EB0"/>
    <w:rsid w:val="00CD20FE"/>
    <w:rsid w:val="00CD4130"/>
    <w:rsid w:val="00CD50B3"/>
    <w:rsid w:val="00CD5C3D"/>
    <w:rsid w:val="00CE0584"/>
    <w:rsid w:val="00CE1997"/>
    <w:rsid w:val="00CE1E91"/>
    <w:rsid w:val="00CE3906"/>
    <w:rsid w:val="00CE4AD6"/>
    <w:rsid w:val="00CE5ABA"/>
    <w:rsid w:val="00CF03C4"/>
    <w:rsid w:val="00CF0552"/>
    <w:rsid w:val="00CF0CC8"/>
    <w:rsid w:val="00CF1908"/>
    <w:rsid w:val="00CF2643"/>
    <w:rsid w:val="00CF4119"/>
    <w:rsid w:val="00CF4824"/>
    <w:rsid w:val="00CF6BBC"/>
    <w:rsid w:val="00D00463"/>
    <w:rsid w:val="00D00A56"/>
    <w:rsid w:val="00D01242"/>
    <w:rsid w:val="00D029D3"/>
    <w:rsid w:val="00D03B8A"/>
    <w:rsid w:val="00D04C14"/>
    <w:rsid w:val="00D04C24"/>
    <w:rsid w:val="00D06039"/>
    <w:rsid w:val="00D0734B"/>
    <w:rsid w:val="00D07ACF"/>
    <w:rsid w:val="00D07E21"/>
    <w:rsid w:val="00D10E1A"/>
    <w:rsid w:val="00D120B5"/>
    <w:rsid w:val="00D13C99"/>
    <w:rsid w:val="00D145A8"/>
    <w:rsid w:val="00D14FB7"/>
    <w:rsid w:val="00D1758E"/>
    <w:rsid w:val="00D21BC1"/>
    <w:rsid w:val="00D22416"/>
    <w:rsid w:val="00D256AB"/>
    <w:rsid w:val="00D27A0C"/>
    <w:rsid w:val="00D30C68"/>
    <w:rsid w:val="00D3417F"/>
    <w:rsid w:val="00D36F48"/>
    <w:rsid w:val="00D40B50"/>
    <w:rsid w:val="00D40BFC"/>
    <w:rsid w:val="00D4308D"/>
    <w:rsid w:val="00D4465D"/>
    <w:rsid w:val="00D44879"/>
    <w:rsid w:val="00D45820"/>
    <w:rsid w:val="00D474A2"/>
    <w:rsid w:val="00D474BB"/>
    <w:rsid w:val="00D47BFA"/>
    <w:rsid w:val="00D47E48"/>
    <w:rsid w:val="00D51A9F"/>
    <w:rsid w:val="00D540FD"/>
    <w:rsid w:val="00D55440"/>
    <w:rsid w:val="00D5563F"/>
    <w:rsid w:val="00D56D75"/>
    <w:rsid w:val="00D62A7D"/>
    <w:rsid w:val="00D631F9"/>
    <w:rsid w:val="00D655DB"/>
    <w:rsid w:val="00D6619A"/>
    <w:rsid w:val="00D706FD"/>
    <w:rsid w:val="00D70CDB"/>
    <w:rsid w:val="00D73BF1"/>
    <w:rsid w:val="00D73CA1"/>
    <w:rsid w:val="00D74788"/>
    <w:rsid w:val="00D75ACF"/>
    <w:rsid w:val="00D771C9"/>
    <w:rsid w:val="00D80D4F"/>
    <w:rsid w:val="00D82F68"/>
    <w:rsid w:val="00D82F87"/>
    <w:rsid w:val="00D83450"/>
    <w:rsid w:val="00D84465"/>
    <w:rsid w:val="00D847B7"/>
    <w:rsid w:val="00D86185"/>
    <w:rsid w:val="00D87003"/>
    <w:rsid w:val="00D876ED"/>
    <w:rsid w:val="00D9028E"/>
    <w:rsid w:val="00D925DD"/>
    <w:rsid w:val="00D92A93"/>
    <w:rsid w:val="00D92C72"/>
    <w:rsid w:val="00D92C94"/>
    <w:rsid w:val="00D93E83"/>
    <w:rsid w:val="00D949EC"/>
    <w:rsid w:val="00D9634B"/>
    <w:rsid w:val="00D97B41"/>
    <w:rsid w:val="00DA170E"/>
    <w:rsid w:val="00DA1E5A"/>
    <w:rsid w:val="00DA2082"/>
    <w:rsid w:val="00DA2C1C"/>
    <w:rsid w:val="00DA36B4"/>
    <w:rsid w:val="00DA4208"/>
    <w:rsid w:val="00DA4779"/>
    <w:rsid w:val="00DA484A"/>
    <w:rsid w:val="00DA4955"/>
    <w:rsid w:val="00DA4F57"/>
    <w:rsid w:val="00DA60E4"/>
    <w:rsid w:val="00DB1279"/>
    <w:rsid w:val="00DB1C35"/>
    <w:rsid w:val="00DB1EE1"/>
    <w:rsid w:val="00DB2CC5"/>
    <w:rsid w:val="00DB3371"/>
    <w:rsid w:val="00DB34C5"/>
    <w:rsid w:val="00DB4FD8"/>
    <w:rsid w:val="00DB5064"/>
    <w:rsid w:val="00DB54E1"/>
    <w:rsid w:val="00DB5D09"/>
    <w:rsid w:val="00DB6930"/>
    <w:rsid w:val="00DB7F01"/>
    <w:rsid w:val="00DC206D"/>
    <w:rsid w:val="00DC229F"/>
    <w:rsid w:val="00DC3759"/>
    <w:rsid w:val="00DC37EC"/>
    <w:rsid w:val="00DC41A4"/>
    <w:rsid w:val="00DC45CB"/>
    <w:rsid w:val="00DC4C44"/>
    <w:rsid w:val="00DC4F37"/>
    <w:rsid w:val="00DC7172"/>
    <w:rsid w:val="00DC78A5"/>
    <w:rsid w:val="00DC7DD8"/>
    <w:rsid w:val="00DD0950"/>
    <w:rsid w:val="00DD206A"/>
    <w:rsid w:val="00DD3EF0"/>
    <w:rsid w:val="00DD4560"/>
    <w:rsid w:val="00DD56F4"/>
    <w:rsid w:val="00DD749E"/>
    <w:rsid w:val="00DE13B3"/>
    <w:rsid w:val="00DE168C"/>
    <w:rsid w:val="00DE3A5D"/>
    <w:rsid w:val="00DE457B"/>
    <w:rsid w:val="00DE4F35"/>
    <w:rsid w:val="00DE51FE"/>
    <w:rsid w:val="00DE6077"/>
    <w:rsid w:val="00DE7CFA"/>
    <w:rsid w:val="00DF1AD0"/>
    <w:rsid w:val="00DF2CBB"/>
    <w:rsid w:val="00DF36B8"/>
    <w:rsid w:val="00DF4BA0"/>
    <w:rsid w:val="00DF53D8"/>
    <w:rsid w:val="00DF59F5"/>
    <w:rsid w:val="00DF6067"/>
    <w:rsid w:val="00DF62C6"/>
    <w:rsid w:val="00DF7AAB"/>
    <w:rsid w:val="00E00547"/>
    <w:rsid w:val="00E00985"/>
    <w:rsid w:val="00E019D7"/>
    <w:rsid w:val="00E02259"/>
    <w:rsid w:val="00E029E9"/>
    <w:rsid w:val="00E02A4C"/>
    <w:rsid w:val="00E02D2E"/>
    <w:rsid w:val="00E02F71"/>
    <w:rsid w:val="00E035EB"/>
    <w:rsid w:val="00E03BEA"/>
    <w:rsid w:val="00E05A15"/>
    <w:rsid w:val="00E06BFF"/>
    <w:rsid w:val="00E0723D"/>
    <w:rsid w:val="00E07B4C"/>
    <w:rsid w:val="00E12554"/>
    <w:rsid w:val="00E15168"/>
    <w:rsid w:val="00E153C1"/>
    <w:rsid w:val="00E15C57"/>
    <w:rsid w:val="00E16349"/>
    <w:rsid w:val="00E16D96"/>
    <w:rsid w:val="00E177FD"/>
    <w:rsid w:val="00E21041"/>
    <w:rsid w:val="00E21DAE"/>
    <w:rsid w:val="00E2287B"/>
    <w:rsid w:val="00E22A0C"/>
    <w:rsid w:val="00E249DC"/>
    <w:rsid w:val="00E25B63"/>
    <w:rsid w:val="00E26B84"/>
    <w:rsid w:val="00E274EF"/>
    <w:rsid w:val="00E31923"/>
    <w:rsid w:val="00E32192"/>
    <w:rsid w:val="00E32AD5"/>
    <w:rsid w:val="00E34151"/>
    <w:rsid w:val="00E3433A"/>
    <w:rsid w:val="00E34F0C"/>
    <w:rsid w:val="00E35F31"/>
    <w:rsid w:val="00E36402"/>
    <w:rsid w:val="00E37486"/>
    <w:rsid w:val="00E407A5"/>
    <w:rsid w:val="00E40AC1"/>
    <w:rsid w:val="00E40D3C"/>
    <w:rsid w:val="00E40FFA"/>
    <w:rsid w:val="00E41068"/>
    <w:rsid w:val="00E41258"/>
    <w:rsid w:val="00E46C94"/>
    <w:rsid w:val="00E46EE0"/>
    <w:rsid w:val="00E47ADA"/>
    <w:rsid w:val="00E5079B"/>
    <w:rsid w:val="00E50F5D"/>
    <w:rsid w:val="00E51710"/>
    <w:rsid w:val="00E53AEA"/>
    <w:rsid w:val="00E57BDE"/>
    <w:rsid w:val="00E600DC"/>
    <w:rsid w:val="00E60BA5"/>
    <w:rsid w:val="00E60CCD"/>
    <w:rsid w:val="00E6183D"/>
    <w:rsid w:val="00E619B1"/>
    <w:rsid w:val="00E62F2C"/>
    <w:rsid w:val="00E64A52"/>
    <w:rsid w:val="00E66050"/>
    <w:rsid w:val="00E66383"/>
    <w:rsid w:val="00E6642C"/>
    <w:rsid w:val="00E703BD"/>
    <w:rsid w:val="00E723ED"/>
    <w:rsid w:val="00E7361A"/>
    <w:rsid w:val="00E76568"/>
    <w:rsid w:val="00E76CF0"/>
    <w:rsid w:val="00E773BF"/>
    <w:rsid w:val="00E77EE9"/>
    <w:rsid w:val="00E83BB4"/>
    <w:rsid w:val="00E847A7"/>
    <w:rsid w:val="00E84CE6"/>
    <w:rsid w:val="00E856CA"/>
    <w:rsid w:val="00E87413"/>
    <w:rsid w:val="00E877B7"/>
    <w:rsid w:val="00E911D6"/>
    <w:rsid w:val="00E92232"/>
    <w:rsid w:val="00E92EB0"/>
    <w:rsid w:val="00E93851"/>
    <w:rsid w:val="00E93C2C"/>
    <w:rsid w:val="00E94AF7"/>
    <w:rsid w:val="00E94D35"/>
    <w:rsid w:val="00E94D97"/>
    <w:rsid w:val="00E95DFF"/>
    <w:rsid w:val="00E97B35"/>
    <w:rsid w:val="00EA1E46"/>
    <w:rsid w:val="00EA2556"/>
    <w:rsid w:val="00EA2FCE"/>
    <w:rsid w:val="00EB08F7"/>
    <w:rsid w:val="00EB124F"/>
    <w:rsid w:val="00EB3781"/>
    <w:rsid w:val="00EB5513"/>
    <w:rsid w:val="00EB5778"/>
    <w:rsid w:val="00EB62D0"/>
    <w:rsid w:val="00EB6347"/>
    <w:rsid w:val="00EB6986"/>
    <w:rsid w:val="00EB7DA0"/>
    <w:rsid w:val="00EC2A89"/>
    <w:rsid w:val="00EC2C4F"/>
    <w:rsid w:val="00EC2D06"/>
    <w:rsid w:val="00EC3030"/>
    <w:rsid w:val="00EC312D"/>
    <w:rsid w:val="00EC3911"/>
    <w:rsid w:val="00ED0AF1"/>
    <w:rsid w:val="00ED3091"/>
    <w:rsid w:val="00ED3975"/>
    <w:rsid w:val="00ED6651"/>
    <w:rsid w:val="00EE21DB"/>
    <w:rsid w:val="00EE2246"/>
    <w:rsid w:val="00EE3BC2"/>
    <w:rsid w:val="00EE40BE"/>
    <w:rsid w:val="00EE45E3"/>
    <w:rsid w:val="00EE57BD"/>
    <w:rsid w:val="00EF09AC"/>
    <w:rsid w:val="00EF0AD2"/>
    <w:rsid w:val="00EF1295"/>
    <w:rsid w:val="00EF1FF6"/>
    <w:rsid w:val="00EF25D1"/>
    <w:rsid w:val="00EF2734"/>
    <w:rsid w:val="00EF2917"/>
    <w:rsid w:val="00EF30C1"/>
    <w:rsid w:val="00EF32BB"/>
    <w:rsid w:val="00EF3DBD"/>
    <w:rsid w:val="00EF4381"/>
    <w:rsid w:val="00EF4E78"/>
    <w:rsid w:val="00EF50B7"/>
    <w:rsid w:val="00EF64FD"/>
    <w:rsid w:val="00EF7CE2"/>
    <w:rsid w:val="00F00176"/>
    <w:rsid w:val="00F001C8"/>
    <w:rsid w:val="00F021DA"/>
    <w:rsid w:val="00F02B10"/>
    <w:rsid w:val="00F03822"/>
    <w:rsid w:val="00F040DC"/>
    <w:rsid w:val="00F04398"/>
    <w:rsid w:val="00F06816"/>
    <w:rsid w:val="00F07FE8"/>
    <w:rsid w:val="00F121D2"/>
    <w:rsid w:val="00F12AF2"/>
    <w:rsid w:val="00F136DC"/>
    <w:rsid w:val="00F1781A"/>
    <w:rsid w:val="00F20DBA"/>
    <w:rsid w:val="00F21F2B"/>
    <w:rsid w:val="00F21F30"/>
    <w:rsid w:val="00F23B5F"/>
    <w:rsid w:val="00F23EBB"/>
    <w:rsid w:val="00F27E4C"/>
    <w:rsid w:val="00F30318"/>
    <w:rsid w:val="00F335AC"/>
    <w:rsid w:val="00F351ED"/>
    <w:rsid w:val="00F3528F"/>
    <w:rsid w:val="00F35C3E"/>
    <w:rsid w:val="00F40D2E"/>
    <w:rsid w:val="00F441E5"/>
    <w:rsid w:val="00F44E9D"/>
    <w:rsid w:val="00F46C21"/>
    <w:rsid w:val="00F51F9E"/>
    <w:rsid w:val="00F5235A"/>
    <w:rsid w:val="00F52F06"/>
    <w:rsid w:val="00F530F7"/>
    <w:rsid w:val="00F5315B"/>
    <w:rsid w:val="00F554BC"/>
    <w:rsid w:val="00F565C1"/>
    <w:rsid w:val="00F57697"/>
    <w:rsid w:val="00F57D89"/>
    <w:rsid w:val="00F61179"/>
    <w:rsid w:val="00F642DA"/>
    <w:rsid w:val="00F64369"/>
    <w:rsid w:val="00F673ED"/>
    <w:rsid w:val="00F71516"/>
    <w:rsid w:val="00F71C41"/>
    <w:rsid w:val="00F72CA5"/>
    <w:rsid w:val="00F72CF8"/>
    <w:rsid w:val="00F82568"/>
    <w:rsid w:val="00F833B0"/>
    <w:rsid w:val="00F8364B"/>
    <w:rsid w:val="00F84246"/>
    <w:rsid w:val="00F84464"/>
    <w:rsid w:val="00F84DE0"/>
    <w:rsid w:val="00F85383"/>
    <w:rsid w:val="00F91C92"/>
    <w:rsid w:val="00F9686B"/>
    <w:rsid w:val="00F968B3"/>
    <w:rsid w:val="00F97306"/>
    <w:rsid w:val="00F97408"/>
    <w:rsid w:val="00F97B4C"/>
    <w:rsid w:val="00F97F50"/>
    <w:rsid w:val="00FA1A8E"/>
    <w:rsid w:val="00FA1AD4"/>
    <w:rsid w:val="00FA335A"/>
    <w:rsid w:val="00FA3CF6"/>
    <w:rsid w:val="00FA4F92"/>
    <w:rsid w:val="00FA5A69"/>
    <w:rsid w:val="00FA5DA8"/>
    <w:rsid w:val="00FB17FD"/>
    <w:rsid w:val="00FB1D35"/>
    <w:rsid w:val="00FB2079"/>
    <w:rsid w:val="00FB2D6C"/>
    <w:rsid w:val="00FB42B3"/>
    <w:rsid w:val="00FB51D8"/>
    <w:rsid w:val="00FB6962"/>
    <w:rsid w:val="00FB758F"/>
    <w:rsid w:val="00FB76AB"/>
    <w:rsid w:val="00FB7E1D"/>
    <w:rsid w:val="00FC1F3C"/>
    <w:rsid w:val="00FC2E5D"/>
    <w:rsid w:val="00FC3662"/>
    <w:rsid w:val="00FC49C7"/>
    <w:rsid w:val="00FC5230"/>
    <w:rsid w:val="00FC5BCA"/>
    <w:rsid w:val="00FC5C38"/>
    <w:rsid w:val="00FC5F88"/>
    <w:rsid w:val="00FC6A16"/>
    <w:rsid w:val="00FC6F85"/>
    <w:rsid w:val="00FC746E"/>
    <w:rsid w:val="00FD272E"/>
    <w:rsid w:val="00FD3D9E"/>
    <w:rsid w:val="00FD40C9"/>
    <w:rsid w:val="00FD45E7"/>
    <w:rsid w:val="00FD6241"/>
    <w:rsid w:val="00FE0C0F"/>
    <w:rsid w:val="00FE33D1"/>
    <w:rsid w:val="00FE45DF"/>
    <w:rsid w:val="00FF0E48"/>
    <w:rsid w:val="00FF3823"/>
    <w:rsid w:val="00FF3BF9"/>
    <w:rsid w:val="00FF794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DD748"/>
  <w15:chartTrackingRefBased/>
  <w15:docId w15:val="{2D9B672F-FAE5-44B9-98F1-D2642B943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6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6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467E"/>
  </w:style>
  <w:style w:type="paragraph" w:styleId="Footer">
    <w:name w:val="footer"/>
    <w:basedOn w:val="Normal"/>
    <w:link w:val="FooterChar"/>
    <w:uiPriority w:val="99"/>
    <w:unhideWhenUsed/>
    <w:rsid w:val="003746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467E"/>
  </w:style>
  <w:style w:type="paragraph" w:styleId="ListParagraph">
    <w:name w:val="List Paragraph"/>
    <w:basedOn w:val="Normal"/>
    <w:uiPriority w:val="34"/>
    <w:qFormat/>
    <w:rsid w:val="0037467E"/>
    <w:pPr>
      <w:ind w:left="720"/>
      <w:contextualSpacing/>
    </w:pPr>
  </w:style>
  <w:style w:type="table" w:styleId="TableGrid">
    <w:name w:val="Table Grid"/>
    <w:basedOn w:val="TableNormal"/>
    <w:uiPriority w:val="39"/>
    <w:rsid w:val="0032440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44E28"/>
    <w:rPr>
      <w:color w:val="0563C1"/>
      <w:u w:val="single"/>
    </w:rPr>
  </w:style>
  <w:style w:type="character" w:styleId="Strong">
    <w:name w:val="Strong"/>
    <w:basedOn w:val="DefaultParagraphFont"/>
    <w:uiPriority w:val="22"/>
    <w:qFormat/>
    <w:rsid w:val="00844E28"/>
    <w:rPr>
      <w:b/>
      <w:bCs/>
    </w:rPr>
  </w:style>
  <w:style w:type="paragraph" w:styleId="EndnoteText">
    <w:name w:val="endnote text"/>
    <w:basedOn w:val="Normal"/>
    <w:link w:val="EndnoteTextChar"/>
    <w:uiPriority w:val="99"/>
    <w:semiHidden/>
    <w:unhideWhenUsed/>
    <w:rsid w:val="00602A62"/>
    <w:pPr>
      <w:spacing w:after="0" w:line="240" w:lineRule="auto"/>
    </w:pPr>
    <w:rPr>
      <w:rFonts w:ascii="Calibri" w:hAnsi="Calibri" w:cs="Calibri"/>
      <w:sz w:val="20"/>
      <w:szCs w:val="20"/>
    </w:rPr>
  </w:style>
  <w:style w:type="character" w:customStyle="1" w:styleId="EndnoteTextChar">
    <w:name w:val="Endnote Text Char"/>
    <w:basedOn w:val="DefaultParagraphFont"/>
    <w:link w:val="EndnoteText"/>
    <w:uiPriority w:val="99"/>
    <w:semiHidden/>
    <w:rsid w:val="00602A62"/>
    <w:rPr>
      <w:rFonts w:ascii="Calibri" w:hAnsi="Calibri" w:cs="Calibri"/>
      <w:sz w:val="20"/>
      <w:szCs w:val="20"/>
    </w:rPr>
  </w:style>
  <w:style w:type="paragraph" w:styleId="NoSpacing">
    <w:name w:val="No Spacing"/>
    <w:uiPriority w:val="1"/>
    <w:qFormat/>
    <w:rsid w:val="00602A62"/>
    <w:pPr>
      <w:spacing w:after="0" w:line="240" w:lineRule="auto"/>
    </w:pPr>
    <w:rPr>
      <w:rFonts w:ascii="Calibri" w:hAnsi="Calibri" w:cs="Calibri"/>
    </w:rPr>
  </w:style>
  <w:style w:type="character" w:styleId="EndnoteReference">
    <w:name w:val="endnote reference"/>
    <w:basedOn w:val="DefaultParagraphFont"/>
    <w:uiPriority w:val="99"/>
    <w:semiHidden/>
    <w:unhideWhenUsed/>
    <w:rsid w:val="00602A62"/>
    <w:rPr>
      <w:vertAlign w:val="superscript"/>
    </w:rPr>
  </w:style>
  <w:style w:type="paragraph" w:styleId="BodyText">
    <w:name w:val="Body Text"/>
    <w:basedOn w:val="Normal"/>
    <w:link w:val="BodyTextChar"/>
    <w:uiPriority w:val="99"/>
    <w:semiHidden/>
    <w:unhideWhenUsed/>
    <w:rsid w:val="0055386D"/>
    <w:pPr>
      <w:spacing w:after="120" w:line="280" w:lineRule="exact"/>
    </w:pPr>
    <w:rPr>
      <w:rFonts w:ascii="Arial" w:hAnsi="Arial" w:cs="Arial"/>
      <w:sz w:val="21"/>
      <w:szCs w:val="21"/>
    </w:rPr>
  </w:style>
  <w:style w:type="character" w:customStyle="1" w:styleId="BodyTextChar">
    <w:name w:val="Body Text Char"/>
    <w:basedOn w:val="DefaultParagraphFont"/>
    <w:link w:val="BodyText"/>
    <w:uiPriority w:val="99"/>
    <w:semiHidden/>
    <w:rsid w:val="0055386D"/>
    <w:rPr>
      <w:rFonts w:ascii="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4397">
      <w:bodyDiv w:val="1"/>
      <w:marLeft w:val="0"/>
      <w:marRight w:val="0"/>
      <w:marTop w:val="0"/>
      <w:marBottom w:val="0"/>
      <w:divBdr>
        <w:top w:val="none" w:sz="0" w:space="0" w:color="auto"/>
        <w:left w:val="none" w:sz="0" w:space="0" w:color="auto"/>
        <w:bottom w:val="none" w:sz="0" w:space="0" w:color="auto"/>
        <w:right w:val="none" w:sz="0" w:space="0" w:color="auto"/>
      </w:divBdr>
    </w:div>
    <w:div w:id="518274176">
      <w:bodyDiv w:val="1"/>
      <w:marLeft w:val="0"/>
      <w:marRight w:val="0"/>
      <w:marTop w:val="0"/>
      <w:marBottom w:val="0"/>
      <w:divBdr>
        <w:top w:val="none" w:sz="0" w:space="0" w:color="auto"/>
        <w:left w:val="none" w:sz="0" w:space="0" w:color="auto"/>
        <w:bottom w:val="none" w:sz="0" w:space="0" w:color="auto"/>
        <w:right w:val="none" w:sz="0" w:space="0" w:color="auto"/>
      </w:divBdr>
    </w:div>
    <w:div w:id="529731001">
      <w:bodyDiv w:val="1"/>
      <w:marLeft w:val="0"/>
      <w:marRight w:val="0"/>
      <w:marTop w:val="0"/>
      <w:marBottom w:val="0"/>
      <w:divBdr>
        <w:top w:val="none" w:sz="0" w:space="0" w:color="auto"/>
        <w:left w:val="none" w:sz="0" w:space="0" w:color="auto"/>
        <w:bottom w:val="none" w:sz="0" w:space="0" w:color="auto"/>
        <w:right w:val="none" w:sz="0" w:space="0" w:color="auto"/>
      </w:divBdr>
    </w:div>
    <w:div w:id="564223652">
      <w:bodyDiv w:val="1"/>
      <w:marLeft w:val="0"/>
      <w:marRight w:val="0"/>
      <w:marTop w:val="0"/>
      <w:marBottom w:val="0"/>
      <w:divBdr>
        <w:top w:val="none" w:sz="0" w:space="0" w:color="auto"/>
        <w:left w:val="none" w:sz="0" w:space="0" w:color="auto"/>
        <w:bottom w:val="none" w:sz="0" w:space="0" w:color="auto"/>
        <w:right w:val="none" w:sz="0" w:space="0" w:color="auto"/>
      </w:divBdr>
    </w:div>
    <w:div w:id="758411606">
      <w:bodyDiv w:val="1"/>
      <w:marLeft w:val="0"/>
      <w:marRight w:val="0"/>
      <w:marTop w:val="0"/>
      <w:marBottom w:val="0"/>
      <w:divBdr>
        <w:top w:val="none" w:sz="0" w:space="0" w:color="auto"/>
        <w:left w:val="none" w:sz="0" w:space="0" w:color="auto"/>
        <w:bottom w:val="none" w:sz="0" w:space="0" w:color="auto"/>
        <w:right w:val="none" w:sz="0" w:space="0" w:color="auto"/>
      </w:divBdr>
    </w:div>
    <w:div w:id="1096101462">
      <w:bodyDiv w:val="1"/>
      <w:marLeft w:val="0"/>
      <w:marRight w:val="0"/>
      <w:marTop w:val="0"/>
      <w:marBottom w:val="0"/>
      <w:divBdr>
        <w:top w:val="none" w:sz="0" w:space="0" w:color="auto"/>
        <w:left w:val="none" w:sz="0" w:space="0" w:color="auto"/>
        <w:bottom w:val="none" w:sz="0" w:space="0" w:color="auto"/>
        <w:right w:val="none" w:sz="0" w:space="0" w:color="auto"/>
      </w:divBdr>
    </w:div>
    <w:div w:id="1277447663">
      <w:bodyDiv w:val="1"/>
      <w:marLeft w:val="0"/>
      <w:marRight w:val="0"/>
      <w:marTop w:val="0"/>
      <w:marBottom w:val="0"/>
      <w:divBdr>
        <w:top w:val="none" w:sz="0" w:space="0" w:color="auto"/>
        <w:left w:val="none" w:sz="0" w:space="0" w:color="auto"/>
        <w:bottom w:val="none" w:sz="0" w:space="0" w:color="auto"/>
        <w:right w:val="none" w:sz="0" w:space="0" w:color="auto"/>
      </w:divBdr>
    </w:div>
    <w:div w:id="1492793218">
      <w:bodyDiv w:val="1"/>
      <w:marLeft w:val="0"/>
      <w:marRight w:val="0"/>
      <w:marTop w:val="0"/>
      <w:marBottom w:val="0"/>
      <w:divBdr>
        <w:top w:val="none" w:sz="0" w:space="0" w:color="auto"/>
        <w:left w:val="none" w:sz="0" w:space="0" w:color="auto"/>
        <w:bottom w:val="none" w:sz="0" w:space="0" w:color="auto"/>
        <w:right w:val="none" w:sz="0" w:space="0" w:color="auto"/>
      </w:divBdr>
    </w:div>
    <w:div w:id="205823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cid:image002.jpg@01D8B28A.AE2F0E2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9F641-493A-4E2C-9771-8A79F1009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1435</TotalTime>
  <Pages>4</Pages>
  <Words>1000</Words>
  <Characters>5705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Thompson</dc:creator>
  <cp:keywords/>
  <dc:description/>
  <cp:lastModifiedBy>Billy Thompson</cp:lastModifiedBy>
  <cp:revision>312</cp:revision>
  <cp:lastPrinted>2024-02-11T13:25:00Z</cp:lastPrinted>
  <dcterms:created xsi:type="dcterms:W3CDTF">2024-02-10T10:58:00Z</dcterms:created>
  <dcterms:modified xsi:type="dcterms:W3CDTF">2024-02-11T13:26:00Z</dcterms:modified>
</cp:coreProperties>
</file>